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eastAsia="zh-CN"/>
        </w:rPr>
      </w:pPr>
    </w:p>
    <w:p>
      <w:pPr>
        <w:jc w:val="center"/>
        <w:rPr>
          <w:rFonts w:hint="eastAsia" w:ascii="宋体" w:hAnsi="宋体"/>
          <w:b/>
          <w:sz w:val="44"/>
          <w:szCs w:val="44"/>
        </w:rPr>
      </w:pPr>
      <w:r>
        <w:rPr>
          <w:rFonts w:hint="eastAsia" w:ascii="方正小标宋简体" w:eastAsia="方正小标宋简体"/>
          <w:color w:val="000000"/>
          <w:sz w:val="44"/>
          <w:szCs w:val="44"/>
        </w:rPr>
        <w:pict>
          <v:shape id="艺术字 1030" o:spid="_x0000_s1026" o:spt="136" type="#_x0000_t136" style="position:absolute;left:0pt;margin-left:-10.35pt;margin-top:4.95pt;height:163.25pt;width:381.8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泉州市民政局&#10;中共泉州市委组织部&#10;泉州市教育局&#10;泉州市财政局&#10;泉州市人力资源和社会保障局" style="font-family:宋体;font-size:20pt;v-text-align:letter-justify;"/>
          </v:shape>
        </w:pict>
      </w: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440" w:firstLineChars="100"/>
        <w:jc w:val="center"/>
        <w:textAlignment w:val="auto"/>
        <w:rPr>
          <w:rFonts w:hint="eastAsia" w:ascii="仿宋_GB2312" w:hAnsi="仿宋" w:eastAsia="仿宋_GB2312"/>
          <w:sz w:val="32"/>
          <w:szCs w:val="32"/>
          <w:lang w:eastAsia="zh-CN"/>
        </w:rPr>
      </w:pPr>
      <w:r>
        <w:rPr>
          <w:rFonts w:ascii="方正小标宋简体" w:hAnsi="Times New Roman" w:eastAsia="方正小标宋简体" w:cs="Times New Roman"/>
          <w:kern w:val="2"/>
          <w:sz w:val="44"/>
          <w:szCs w:val="44"/>
          <w:lang w:val="en-US" w:eastAsia="zh-CN" w:bidi="ar-SA"/>
        </w:rPr>
        <w:pict>
          <v:shape id="艺术字 1029" o:spid="_x0000_s1027" o:spt="136" type="#_x0000_t136" style="position:absolute;left:0pt;margin-left:377.6pt;margin-top:13.8pt;height:46.35pt;width:78.45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36pt;v-text-align:center;"/>
          </v:shape>
        </w:pict>
      </w: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sz w:val="32"/>
          <w:szCs w:val="32"/>
          <w:lang w:eastAsia="zh-CN"/>
        </w:rPr>
      </w:pPr>
    </w:p>
    <w:p>
      <w:pPr>
        <w:keepNext w:val="0"/>
        <w:keepLines w:val="0"/>
        <w:pageBreakBefore w:val="0"/>
        <w:widowControl w:val="0"/>
        <w:tabs>
          <w:tab w:val="left" w:pos="1134"/>
        </w:tabs>
        <w:kinsoku/>
        <w:wordWrap/>
        <w:overflowPunct/>
        <w:topLinePunct w:val="0"/>
        <w:autoSpaceDE/>
        <w:autoSpaceDN/>
        <w:bidi w:val="0"/>
        <w:spacing w:line="440" w:lineRule="exact"/>
        <w:ind w:firstLine="320" w:firstLineChars="100"/>
        <w:jc w:val="center"/>
        <w:textAlignment w:val="auto"/>
        <w:rPr>
          <w:rFonts w:hint="eastAsia" w:ascii="仿宋_GB2312" w:hAnsi="仿宋" w:eastAsia="仿宋_GB2312"/>
          <w:bCs/>
          <w:sz w:val="32"/>
          <w:szCs w:val="32"/>
        </w:rPr>
      </w:pPr>
      <w:r>
        <w:rPr>
          <w:rFonts w:hint="eastAsia" w:ascii="仿宋_GB2312" w:hAnsi="仿宋" w:eastAsia="仿宋_GB2312"/>
          <w:sz w:val="32"/>
          <w:szCs w:val="32"/>
          <w:lang w:eastAsia="zh-CN"/>
        </w:rPr>
        <w:t>泉民建</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lang w:val="en-US" w:eastAsia="zh-CN"/>
        </w:rPr>
        <w:t>1</w:t>
      </w:r>
      <w:r>
        <w:rPr>
          <w:rFonts w:ascii="仿宋_GB2312" w:hAnsi="仿宋" w:eastAsia="仿宋_GB2312"/>
          <w:sz w:val="32"/>
          <w:szCs w:val="32"/>
        </w:rPr>
        <w:t>〕</w:t>
      </w:r>
      <w:r>
        <w:rPr>
          <w:rFonts w:hint="eastAsia" w:ascii="仿宋_GB2312" w:hAnsi="仿宋" w:eastAsia="仿宋_GB2312"/>
          <w:sz w:val="32"/>
          <w:szCs w:val="32"/>
          <w:lang w:val="en-US" w:eastAsia="zh-CN"/>
        </w:rPr>
        <w:t>4</w:t>
      </w:r>
      <w:r>
        <w:rPr>
          <w:rFonts w:ascii="仿宋_GB2312" w:hAnsi="仿宋" w:eastAsia="仿宋_GB2312"/>
          <w:sz w:val="32"/>
          <w:szCs w:val="32"/>
        </w:rPr>
        <w:t>号</w:t>
      </w:r>
    </w:p>
    <w:p>
      <w:pPr>
        <w:pStyle w:val="2"/>
        <w:keepNext w:val="0"/>
        <w:keepLines w:val="0"/>
        <w:pageBreakBefore w:val="0"/>
        <w:widowControl w:val="0"/>
        <w:tabs>
          <w:tab w:val="left" w:pos="0"/>
          <w:tab w:val="clear" w:pos="7020"/>
        </w:tabs>
        <w:kinsoku/>
        <w:wordWrap/>
        <w:overflowPunct/>
        <w:topLinePunct w:val="0"/>
        <w:autoSpaceDE/>
        <w:autoSpaceDN/>
        <w:bidi w:val="0"/>
        <w:adjustRightInd w:val="0"/>
        <w:snapToGrid w:val="0"/>
        <w:spacing w:line="440" w:lineRule="exact"/>
        <w:ind w:firstLine="0" w:firstLineChars="0"/>
        <w:jc w:val="center"/>
        <w:textAlignment w:val="auto"/>
        <w:rPr>
          <w:rFonts w:hint="eastAsia" w:ascii="仿宋_GB2312" w:hAnsi="仿宋_GB2312" w:eastAsia="仿宋_GB2312" w:cs="仿宋_GB2312"/>
          <w:sz w:val="32"/>
          <w:szCs w:val="32"/>
        </w:rPr>
      </w:pPr>
      <w:bookmarkStart w:id="0" w:name="红线1"/>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131445</wp:posOffset>
                </wp:positionV>
                <wp:extent cx="5615940" cy="0"/>
                <wp:effectExtent l="0" t="15875" r="3810" b="22225"/>
                <wp:wrapSquare wrapText="bothSides"/>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35pt;height:0pt;width:442.2pt;mso-wrap-distance-bottom:0pt;mso-wrap-distance-left:9pt;mso-wrap-distance-right:9pt;mso-wrap-distance-top:0pt;z-index:251659264;mso-width-relative:page;mso-height-relative:page;" filled="f" stroked="t" coordsize="21600,21600" o:gfxdata="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9rsL1gAAAAYBAAAPAAAAAAAAAAEAIAAAACIAAABkcnMvZG93bnJldi54&#10;bWxQSwECFAAUAAAACACHTuJAZ38u0/wBAADzAwAADgAAAAAAAAABACAAAAAlAQAAZHJzL2Uyb0Rv&#10;Yy54bWxQSwUGAAAAAAYABgBZAQAAkwUAAAAA&#10;">
                <v:fill on="f" focussize="0,0"/>
                <v:stroke weight="2.5pt" color="#FF0000" joinstyle="round"/>
                <v:imagedata o:title=""/>
                <o:lock v:ext="edit" aspectratio="f"/>
                <w10:wrap type="square"/>
              </v:line>
            </w:pict>
          </mc:Fallback>
        </mc:AlternateContent>
      </w:r>
      <w:bookmarkEnd w:id="0"/>
    </w:p>
    <w:p>
      <w:pPr>
        <w:suppressAutoHyphens/>
        <w:spacing w:line="579" w:lineRule="exact"/>
        <w:jc w:val="center"/>
        <w:rPr>
          <w:rFonts w:hint="eastAsia" w:ascii="方正小标宋简体" w:eastAsia="方正小标宋简体" w:cs="Times New Roman"/>
          <w:bCs/>
          <w:color w:val="000000"/>
          <w:sz w:val="44"/>
          <w:szCs w:val="32"/>
        </w:rPr>
      </w:pPr>
      <w:r>
        <w:rPr>
          <w:rFonts w:hint="eastAsia" w:ascii="方正小标宋简体" w:eastAsia="方正小标宋简体" w:cs="Times New Roman"/>
          <w:bCs/>
          <w:color w:val="000000"/>
          <w:sz w:val="44"/>
          <w:szCs w:val="32"/>
        </w:rPr>
        <w:t>泉州市民政局等五部门关于组织实施泉州市2021年高校毕业生服务社区计划的通知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安溪、永春、德化县党委组织部，政府民政局、教育局、财政局、人社局：</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根据《福建省民政厅等五部门关于组织实施2021年高校毕业生服务社区计划的通知》（闽民建〔2021〕37号），现就我市组织实施2021年高校毕业生服务社区计划有关事项通知如下：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一、工作任务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2021年全市统一招募30名高校毕业生，安排到纳入县级基本财力保障范围的安溪县、永春县、德化县的城市社区从事社区工作，服务期限为2年。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二、组织招募</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（一）招募对象和条件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招募对象为国内全日制普通高校泉州生源毕业生（不含成人教育培养类别等非本专科全日制高校毕业生），并具备以下条件：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1.思想政治素质好，组织纪律观念强，有理想、有本领、有担当；服从分配，志愿到社区从事工作；遵纪守法，敬业奉献，作风正派；在校期间无违法违纪违规行为。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2.学习成绩良好，具有相应的专业知识，善于沟通，有较强的口头表达和文字表达能力。</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3.往届高校毕业生年龄一般不超过25周岁（即在1996年7月31日后出生），研究生学历放宽至28周岁（即在1993年7月31日后出生），应届高校毕业生无此要求。</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4.具有正常履行职责的身体条件，保证两年服务期内能正常履职。如不能保证两年服务期的完整性，期满不予以考核，不享受期满考核合格人员的优惠政策。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5.报名人员须在2021年7月31日前取得毕业证书（研究生放宽至2021年12月31日）；未获得毕业证书的，将取消派遣资格。</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同等条件下，优先招募派遣低保、低收入家庭、就业困难的高校毕业生、岗位所在地县、乡镇（街道）生源的毕业生、退役大学生士兵、残疾毕业生、少数民族毕业生。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组织招募程序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招募工作坚持“公开、平等、竞争、择优”的原则，由市民政局牵头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市委组织部、市教育局、市财政局、市人社局配合实施。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1.名额分配。安溪县10人，永春县10人，德化县10人。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2.组织报名。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报名方式：现场报名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（2）报名时间：2021年5月6日—5月8日，8:30-17:30。</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（3）报名地点：泉州市民政局（泉州市丰泽区府东路交通科研楼D栋519）</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报名填表：可登陆“泉州民政”（http://mzj.quanzhou.gov.cn/）或“泉州人社”（http://rsj.quanzhou.gov.cn/）网站下载并填写《泉州市高校毕业生服务社区计划报名登记表》（详见附件1）。</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名材料：①《泉州市高校毕业生服务社区计划报名登记表》；②户口簿（户主和本人页）、本人身份证；③毕业证书或就业推荐表；④所在党组织开具的党员证明；⑤国家级、省级、市级（含校级）、院（系）优秀毕业生、优秀学生干部、三好学生、优秀共产党员、优秀共青团员、优秀团干部、奖学金等荣誉证书；⑥担任校级、院（系）级组织主要干部、班级班长、团支书的聘书或学校开具的证明；⑦贫困生应提供《扶贫手册》、《特困人员救助供养证》、《城乡居民最低生活保障证》或由户籍地扶贫部门、县（市、区）民政部门出具的家庭经济困难证明；⑧烈士子女，因公牺牲国家机关工作人员、人民警察、军人的子女应提供相应证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⑨退役大学生士兵应提供《入伍批准书》和《退出现役证》；⑩残疾毕业生应提供《残疾人证》。（②-⑩提供原件及复印件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报名须知：高校毕业生报名时要按照公布的招募条件如实详细填写信息，并在报名时间内一次性提交报名材料（逾期不补）。报名人员应对所提交信息及证明材料的真实性负责，若有虚假或伪造，一经查实即取消报名和派遣资格。报名人员应自觉遵守防疫有关要求，做好个人防护。</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核查（2021年5月11日—5月31日）。市民政局根据报名人员提供的材料，按照《泉州市高校毕业生服务社区计划量化考核表》（详见附件2）对其进行审查考核。按报名服务所在县以招募人数1:1的比例从高分到低分，确定参加体检的高校毕业生人员名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4.组织体检（2021年6月1日—6月10日）。市民政局统一指定时间和医院，参照公务员录用体检标准，组织入选的高校毕业生进行体检。若出现体检不合格或弃权的，按各县报名人员考核分数高低依次递补人选。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5.确定人选（2021年6月11日—6月25日）。市民政局根据体检情况，确定拟招募人选，面向社会公示3个工作日。经公示无异议的，确定为正式招募人员。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6.签订协议（2021年6月26日—7月4日）。市民政局组织入选的毕业生签订《福建省高校毕业生服务社区计划协议书》，并将名单上报省民政厅备案。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7.岗前培训（2021年7月5日—7月10日）。组织招募的高校毕业生参加省民政厅举办的岗前集中培训。</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8.派遣报到（2021年7月15日前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。安溪县、永春县、德化县民政局负责将正式招募的高校毕业生带到服务所在镇报到，再由镇安排到社区居委会。接收单位应做好服务社区高校毕业生的接收工作，并办理相关手续。</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三、待遇保障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（一）服务期间待遇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社区高校毕业生服务期间生活补贴标准根据省政府《关于做好2016年普通高等学校毕业生就业创业工作的通知》（闽政〔2016〕25号）规定确定。同时服务所在县民政局依托当地人社部门所属人才服务机构，以缴费时点上一年度全省在岗职工平均工资的60%为缴费基数标准，统一办理社会保险（基本养老、基本医疗、失业、生育、工伤）和人身意外伤害保险。</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2.实行贫困生助学贷款国家代偿政策。服务社区高校毕业生在校期间的国家助学贷款本息，由省级财政按每人每年2000元代为偿还。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3.服务期间，由各级人社部门所属人才服务机构提供人事档案保管服务。服务满1年且考核合格后，可按规定参加职称评定。服务期间按规定解除协议的，实际服务并缴纳养老保险的年限可计算为连续工龄。</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（二）期满政策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服务社区高校毕业生服务期满后自主择业。服务期满考核合格的，享受以下政策待遇：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1.参加服务社区计划前无工作经历的高校毕业生，服务期满且考核合格的，在2年内可同等享受应届高校毕业生参加机关事业单位考录（招聘）、企业吸纳就业、自主创业、落户、升学等方面的相关政策。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2.当年服务行将期满考核合格和服务期满考核合格的服务社区计划高校毕业生，可报考全省招录公务员“四级联考”中面向服务基层项目高校毕业生的专门职位。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年服务行将期满考核合格和服务期满考核合格的服务社区计划高校毕业生，报考省、设区市事业单位的，笔试总分加3分；报考县（市、区）、乡（镇）事业单位的，笔试总分加5分。承担服务社区计划招募任务的县（市、区），在开展事业单位招聘时，应根据当年期满人员数量，安排一定比例的岗位，采取“专门岗位”或“专项招聘”方式，面向服务社区计划高校毕业生招聘。对于服务期满考核合格的，在我省乡（镇）事业单位编制内新增工作人员时可以直接聘用，由接收单位报县（市、区）人社部门办理事业单位人员聘用相关手续，在原服务单位直接聘用的不再约定试用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期满考核合格、符合报考条件的，在服务期满后三年内报考省内普通高校硕士研究生，初试总分加10分，在同等条件下招生单位优先录取。对于已被录取为研究生的应届高校毕业生参加服务社区计划的，学校应为其保留学籍至服务期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当年服务行将期满考核合格和服务期满考核合格的服务社区高校毕业生，有就业意愿的，由服务地县（市、区）人社部门所属人才服务机构有针对性地提供就业指导和推荐服务。有创业意愿的，及时纳入当地“大学生创业引领计划”等，有针对性地提供创业公共服务，按规定享受相关扶持政策。</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6.服务期满考核合格，被机关事业单位录（聘）用或进入国有企业就业的，其服务期间计算工龄，参加工作时间从到基层报到之日起算。</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服务期满考核合格、被录用为公务员的，试用期工资可高于直接从各类学校毕业生中录用公务员的试用期工资，按相同学历新录用公务员转正定级工资标准低1个级别工资档次的数额确定；被事业单位聘用的，岗位工资按所聘岗位确定，薪级工资比照本单位相同学历新聘用人员定级工资标准确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凡通过享受政策待遇、被录（聘）为公务员和事业单位工作人员的服务基层项目高校毕业生，不再重复享受报考公务员和事业单位专门职（岗）位、报考事业单位加分和乡镇事业单位考核聘用等就业优惠政策。</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　　四、服务管理</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（一）户口、档案、组织关系管理</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服务期间，户籍关系由毕业生自行迁往家庭户籍所在地。毕业生档案统一转至服务地县人社部门所属人才服务机构管理。党团组织关系由毕业生凭党团组织关系介绍信转至服务社区。服务期间申请入党的，由服务社区党组织按规定程序办理。</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（二）经费保障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1.服务社区高校毕业生服务期内的生活补贴、社会保险、体检、培训经费以及国家助学贷款本息补助从省级就业专项资金中安排。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民政局要按照政策规定，及时、足额落实高校毕业生的生活补贴、社会保险和国家助学贷款补助等资金。服务期间解除协议的，应于次月起停发生活补贴。每年年底前，将高校毕业生资金使用情况上报市民政局。</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（三）日常管理</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按照“谁用人、谁负责”、培养使用并重和分级管理的原则，加强对高校毕业生的教育管理工作。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社区高校毕业生所在的县民政局、所在街道（镇）和社区党组织要担负起高校毕业生服务社区计划组织实施的领导责任，经常性检查指导、督促落实高校毕业生日常管理工作，注重将其纳入党群工作者队伍统筹管理使用，及时了解其在社区服务情况，提供工作和生活条件保障，组织教育培训和安全健康等日常管理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社区高校毕业生原则上一个社区安排1名，最多不超过2名。服务期间，上级机关不得随意借调或调整服务岗位。高校毕业生应按照协议规定期限完成服务工作，由于身体状况等特殊原因不能继续服务的，应提出解除协议申请，并履行有关手续，方可离开。</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联系人：柯超岚       联系电话：0595—22500623</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通讯地址：泉州市丰泽区府东路交通科研楼D栋5层</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电子邮箱：qz22500628@163.com</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附件：1.泉州市高校毕业生服务社区计划报名登记表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2.泉州市高校毕业生服务社区计划量化</w:t>
      </w:r>
      <w:r>
        <w:rPr>
          <w:rFonts w:hint="eastAsia" w:ascii="仿宋_GB2312" w:hAnsi="仿宋_GB2312" w:eastAsia="仿宋_GB2312" w:cs="仿宋_GB2312"/>
          <w:sz w:val="32"/>
          <w:szCs w:val="32"/>
          <w:lang w:eastAsia="zh-CN"/>
        </w:rPr>
        <w:t>评分标准</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pacing w:val="-20"/>
          <w:sz w:val="32"/>
          <w:szCs w:val="32"/>
        </w:rPr>
        <w:t>3.泉州市202</w:t>
      </w:r>
      <w:r>
        <w:rPr>
          <w:rFonts w:hint="eastAsia" w:ascii="仿宋_GB2312" w:hAnsi="仿宋_GB2312" w:eastAsia="仿宋_GB2312" w:cs="仿宋_GB2312"/>
          <w:spacing w:val="-20"/>
          <w:sz w:val="32"/>
          <w:szCs w:val="32"/>
          <w:lang w:val="en-US" w:eastAsia="zh-CN"/>
        </w:rPr>
        <w:t>1</w:t>
      </w:r>
      <w:r>
        <w:rPr>
          <w:rFonts w:hint="eastAsia" w:ascii="仿宋_GB2312" w:hAnsi="仿宋_GB2312" w:eastAsia="仿宋_GB2312" w:cs="仿宋_GB2312"/>
          <w:spacing w:val="-20"/>
          <w:sz w:val="32"/>
          <w:szCs w:val="32"/>
        </w:rPr>
        <w:t>年高校毕业生服务社区计划招募社区名单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泉州市民政局     中共泉州市委组织部    泉州市教育局</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泉州市财政局             泉州市人力资源和社会保障局</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spacing w:line="579"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spacing w:line="579" w:lineRule="exact"/>
        <w:rPr>
          <w:rFonts w:hint="eastAsia" w:ascii="黑体" w:hAnsi="黑体" w:eastAsia="黑体" w:cs="黑体"/>
          <w:color w:val="000000"/>
          <w:kern w:val="0"/>
          <w:sz w:val="32"/>
          <w:szCs w:val="32"/>
        </w:rPr>
      </w:pPr>
    </w:p>
    <w:p>
      <w:pPr>
        <w:suppressAutoHyphens/>
        <w:spacing w:line="579" w:lineRule="exact"/>
        <w:jc w:val="center"/>
        <w:rPr>
          <w:rFonts w:hint="eastAsia" w:ascii="方正小标宋简体" w:eastAsia="方正小标宋简体" w:cs="Times New Roman"/>
          <w:b w:val="0"/>
          <w:bCs/>
          <w:color w:val="000000"/>
          <w:sz w:val="44"/>
          <w:szCs w:val="32"/>
        </w:rPr>
      </w:pPr>
      <w:r>
        <w:rPr>
          <w:rFonts w:hint="eastAsia" w:ascii="方正小标宋简体" w:eastAsia="方正小标宋简体" w:cs="Times New Roman"/>
          <w:b w:val="0"/>
          <w:bCs/>
          <w:color w:val="000000"/>
          <w:sz w:val="44"/>
          <w:szCs w:val="32"/>
        </w:rPr>
        <w:t>泉州市高校毕业生服务社区计划报名登记表</w:t>
      </w:r>
    </w:p>
    <w:p>
      <w:pPr>
        <w:spacing w:after="120" w:afterLines="50" w:line="579" w:lineRule="exact"/>
        <w:rPr>
          <w:rFonts w:hint="eastAsia" w:ascii="仿宋_GB2312" w:hAnsi="宋体" w:eastAsia="仿宋_GB2312" w:cs="宋体"/>
          <w:color w:val="000000"/>
          <w:kern w:val="0"/>
          <w:sz w:val="28"/>
          <w:szCs w:val="32"/>
          <w:u w:val="single"/>
        </w:rPr>
      </w:pPr>
      <w:r>
        <w:rPr>
          <w:rFonts w:hint="eastAsia" w:ascii="仿宋_GB2312" w:hAnsi="宋体" w:eastAsia="仿宋_GB2312" w:cs="宋体"/>
          <w:color w:val="000000"/>
          <w:kern w:val="0"/>
          <w:sz w:val="28"/>
          <w:szCs w:val="32"/>
        </w:rPr>
        <w:t>学校所在地：</w:t>
      </w:r>
      <w:r>
        <w:rPr>
          <w:rFonts w:hint="eastAsia" w:ascii="仿宋_GB2312" w:hAnsi="宋体" w:eastAsia="仿宋_GB2312" w:cs="宋体"/>
          <w:color w:val="000000"/>
          <w:kern w:val="0"/>
          <w:sz w:val="28"/>
          <w:szCs w:val="32"/>
          <w:u w:val="single"/>
        </w:rPr>
        <w:t xml:space="preserve">                 </w:t>
      </w:r>
      <w:r>
        <w:rPr>
          <w:rFonts w:hint="eastAsia" w:ascii="仿宋_GB2312" w:hAnsi="宋体" w:eastAsia="仿宋_GB2312" w:cs="宋体"/>
          <w:color w:val="000000"/>
          <w:kern w:val="0"/>
          <w:sz w:val="28"/>
          <w:szCs w:val="32"/>
        </w:rPr>
        <w:t xml:space="preserve">      毕业院校：</w:t>
      </w:r>
      <w:r>
        <w:rPr>
          <w:rFonts w:hint="eastAsia" w:ascii="仿宋_GB2312" w:hAnsi="宋体" w:eastAsia="仿宋_GB2312" w:cs="宋体"/>
          <w:color w:val="000000"/>
          <w:kern w:val="0"/>
          <w:sz w:val="28"/>
          <w:szCs w:val="32"/>
          <w:u w:val="single"/>
        </w:rPr>
        <w:t xml:space="preserve">                 </w:t>
      </w:r>
    </w:p>
    <w:tbl>
      <w:tblPr>
        <w:tblStyle w:val="6"/>
        <w:tblW w:w="0" w:type="auto"/>
        <w:tblInd w:w="0" w:type="dxa"/>
        <w:tblLayout w:type="fixed"/>
        <w:tblCellMar>
          <w:top w:w="0" w:type="dxa"/>
          <w:left w:w="108" w:type="dxa"/>
          <w:bottom w:w="0" w:type="dxa"/>
          <w:right w:w="108" w:type="dxa"/>
        </w:tblCellMar>
      </w:tblPr>
      <w:tblGrid>
        <w:gridCol w:w="1733"/>
        <w:gridCol w:w="709"/>
        <w:gridCol w:w="783"/>
        <w:gridCol w:w="669"/>
        <w:gridCol w:w="603"/>
        <w:gridCol w:w="149"/>
        <w:gridCol w:w="571"/>
        <w:gridCol w:w="138"/>
        <w:gridCol w:w="739"/>
        <w:gridCol w:w="337"/>
        <w:gridCol w:w="384"/>
        <w:gridCol w:w="228"/>
        <w:gridCol w:w="605"/>
        <w:gridCol w:w="154"/>
        <w:gridCol w:w="654"/>
        <w:gridCol w:w="605"/>
      </w:tblGrid>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姓    名</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性   别</w:t>
            </w:r>
          </w:p>
        </w:tc>
        <w:tc>
          <w:tcPr>
            <w:tcW w:w="182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201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照片（近期一寸正面免冠彩照）</w:t>
            </w: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民    族</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92"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出生年月</w:t>
            </w:r>
          </w:p>
        </w:tc>
        <w:tc>
          <w:tcPr>
            <w:tcW w:w="182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2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政治面貌</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9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应（往）届</w:t>
            </w:r>
          </w:p>
        </w:tc>
        <w:tc>
          <w:tcPr>
            <w:tcW w:w="182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2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身份证号码</w:t>
            </w:r>
          </w:p>
        </w:tc>
        <w:tc>
          <w:tcPr>
            <w:tcW w:w="5310"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20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　　历</w:t>
            </w:r>
          </w:p>
        </w:tc>
        <w:tc>
          <w:tcPr>
            <w:tcW w:w="27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院</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系</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专业</w:t>
            </w:r>
          </w:p>
        </w:tc>
        <w:tc>
          <w:tcPr>
            <w:tcW w:w="263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是否贫困生</w:t>
            </w:r>
          </w:p>
        </w:tc>
        <w:tc>
          <w:tcPr>
            <w:tcW w:w="27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健康状况</w:t>
            </w:r>
          </w:p>
        </w:tc>
        <w:tc>
          <w:tcPr>
            <w:tcW w:w="263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曾担任职务</w:t>
            </w:r>
          </w:p>
        </w:tc>
        <w:tc>
          <w:tcPr>
            <w:tcW w:w="27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既往病史</w:t>
            </w:r>
          </w:p>
        </w:tc>
        <w:tc>
          <w:tcPr>
            <w:tcW w:w="263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27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电子邮箱</w:t>
            </w:r>
          </w:p>
        </w:tc>
        <w:tc>
          <w:tcPr>
            <w:tcW w:w="263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户籍所在地</w:t>
            </w:r>
          </w:p>
        </w:tc>
        <w:tc>
          <w:tcPr>
            <w:tcW w:w="7328" w:type="dxa"/>
            <w:gridSpan w:val="15"/>
            <w:tcBorders>
              <w:top w:val="single" w:color="auto" w:sz="4" w:space="0"/>
              <w:left w:val="nil"/>
              <w:bottom w:val="single" w:color="auto" w:sz="4" w:space="0"/>
              <w:right w:val="single" w:color="auto" w:sz="4" w:space="0"/>
            </w:tcBorders>
            <w:noWrap w:val="0"/>
            <w:vAlign w:val="center"/>
          </w:tcPr>
          <w:p>
            <w:pPr>
              <w:widowControl/>
              <w:ind w:right="560"/>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县（市、区）　　乡镇（街道）　　　村（社区）</w:t>
            </w: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000000"/>
                <w:spacing w:val="-20"/>
                <w:kern w:val="0"/>
                <w:sz w:val="28"/>
                <w:szCs w:val="28"/>
              </w:rPr>
            </w:pPr>
            <w:r>
              <w:rPr>
                <w:rFonts w:hint="eastAsia" w:ascii="仿宋_GB2312" w:hAnsi="宋体" w:eastAsia="仿宋_GB2312" w:cs="宋体"/>
                <w:color w:val="000000"/>
                <w:spacing w:val="-20"/>
                <w:kern w:val="0"/>
                <w:sz w:val="28"/>
                <w:szCs w:val="28"/>
              </w:rPr>
              <w:t>家庭地址电话</w:t>
            </w:r>
          </w:p>
        </w:tc>
        <w:tc>
          <w:tcPr>
            <w:tcW w:w="7328" w:type="dxa"/>
            <w:gridSpan w:val="1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567" w:hRule="atLeast"/>
        </w:trPr>
        <w:tc>
          <w:tcPr>
            <w:tcW w:w="17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000000"/>
                <w:spacing w:val="-20"/>
                <w:kern w:val="0"/>
                <w:sz w:val="28"/>
                <w:szCs w:val="28"/>
              </w:rPr>
            </w:pPr>
            <w:r>
              <w:rPr>
                <w:rFonts w:hint="eastAsia" w:ascii="仿宋_GB2312" w:hAnsi="宋体" w:eastAsia="仿宋_GB2312" w:cs="宋体"/>
                <w:color w:val="000000"/>
                <w:spacing w:val="-20"/>
                <w:kern w:val="0"/>
                <w:sz w:val="28"/>
                <w:szCs w:val="28"/>
              </w:rPr>
              <w:t>志愿服务社区</w:t>
            </w:r>
          </w:p>
        </w:tc>
        <w:tc>
          <w:tcPr>
            <w:tcW w:w="4698" w:type="dxa"/>
            <w:gridSpan w:val="9"/>
            <w:tcBorders>
              <w:top w:val="single" w:color="auto" w:sz="4" w:space="0"/>
              <w:left w:val="nil"/>
              <w:bottom w:val="single" w:color="auto" w:sz="4" w:space="0"/>
              <w:right w:val="single" w:color="000000" w:sz="4" w:space="0"/>
            </w:tcBorders>
            <w:noWrap w:val="0"/>
            <w:vAlign w:val="center"/>
          </w:tcPr>
          <w:p>
            <w:pPr>
              <w:widowControl/>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县　　　　镇　　　　社区</w:t>
            </w:r>
          </w:p>
        </w:tc>
        <w:tc>
          <w:tcPr>
            <w:tcW w:w="1371"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是否服从调剂</w:t>
            </w:r>
          </w:p>
        </w:tc>
        <w:tc>
          <w:tcPr>
            <w:tcW w:w="125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1897" w:hRule="atLeast"/>
        </w:trPr>
        <w:tc>
          <w:tcPr>
            <w:tcW w:w="17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个人简历</w:t>
            </w:r>
          </w:p>
        </w:tc>
        <w:tc>
          <w:tcPr>
            <w:tcW w:w="7328" w:type="dxa"/>
            <w:gridSpan w:val="1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1898" w:hRule="atLeast"/>
        </w:trPr>
        <w:tc>
          <w:tcPr>
            <w:tcW w:w="17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个人简历</w:t>
            </w:r>
          </w:p>
        </w:tc>
        <w:tc>
          <w:tcPr>
            <w:tcW w:w="7328" w:type="dxa"/>
            <w:gridSpan w:val="1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2081" w:hRule="atLeast"/>
        </w:trPr>
        <w:tc>
          <w:tcPr>
            <w:tcW w:w="173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奖惩情况</w:t>
            </w:r>
          </w:p>
        </w:tc>
        <w:tc>
          <w:tcPr>
            <w:tcW w:w="7328" w:type="dxa"/>
            <w:gridSpan w:val="15"/>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2268" w:hRule="atLeast"/>
        </w:trPr>
        <w:tc>
          <w:tcPr>
            <w:tcW w:w="1733" w:type="dxa"/>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w:t>
            </w:r>
          </w:p>
        </w:tc>
        <w:tc>
          <w:tcPr>
            <w:tcW w:w="7328" w:type="dxa"/>
            <w:gridSpan w:val="15"/>
            <w:tcBorders>
              <w:top w:val="single" w:color="auto" w:sz="4" w:space="0"/>
              <w:left w:val="nil"/>
              <w:bottom w:val="single" w:color="000000" w:sz="4" w:space="0"/>
              <w:right w:val="single" w:color="000000" w:sz="4" w:space="0"/>
            </w:tcBorders>
            <w:noWrap w:val="0"/>
            <w:vAlign w:val="center"/>
          </w:tcPr>
          <w:p>
            <w:pPr>
              <w:widowControl/>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以上填写内容全部属实，若有虚假，自愿放弃报名和派遣资格。</w:t>
            </w:r>
          </w:p>
          <w:p>
            <w:pPr>
              <w:widowControl/>
              <w:ind w:firstLine="560" w:firstLineChars="200"/>
              <w:rPr>
                <w:rFonts w:hint="eastAsia" w:ascii="仿宋_GB2312" w:hAnsi="宋体" w:eastAsia="仿宋_GB2312" w:cs="宋体"/>
                <w:color w:val="000000"/>
                <w:kern w:val="0"/>
                <w:sz w:val="28"/>
                <w:szCs w:val="28"/>
              </w:rPr>
            </w:pPr>
          </w:p>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签名：　　　　　　　　　年　　　月　　　日</w:t>
            </w:r>
          </w:p>
        </w:tc>
      </w:tr>
      <w:tr>
        <w:tblPrEx>
          <w:tblCellMar>
            <w:top w:w="0" w:type="dxa"/>
            <w:left w:w="108" w:type="dxa"/>
            <w:bottom w:w="0" w:type="dxa"/>
            <w:right w:w="108" w:type="dxa"/>
          </w:tblCellMar>
        </w:tblPrEx>
        <w:trPr>
          <w:trHeight w:val="567" w:hRule="atLeast"/>
        </w:trPr>
        <w:tc>
          <w:tcPr>
            <w:tcW w:w="1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评分项目</w:t>
            </w:r>
          </w:p>
        </w:tc>
        <w:tc>
          <w:tcPr>
            <w:tcW w:w="709"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基础分</w:t>
            </w:r>
          </w:p>
        </w:tc>
        <w:tc>
          <w:tcPr>
            <w:tcW w:w="783"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学历</w:t>
            </w:r>
          </w:p>
        </w:tc>
        <w:tc>
          <w:tcPr>
            <w:tcW w:w="669"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生源地</w:t>
            </w:r>
          </w:p>
        </w:tc>
        <w:tc>
          <w:tcPr>
            <w:tcW w:w="752"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政治面貌</w:t>
            </w:r>
          </w:p>
        </w:tc>
        <w:tc>
          <w:tcPr>
            <w:tcW w:w="709" w:type="dxa"/>
            <w:gridSpan w:val="2"/>
            <w:tcBorders>
              <w:top w:val="single" w:color="000000" w:sz="4" w:space="0"/>
              <w:left w:val="single" w:color="auto" w:sz="4" w:space="0"/>
              <w:bottom w:val="single" w:color="000000" w:sz="4" w:space="0"/>
              <w:right w:val="single" w:color="000000" w:sz="4" w:space="0"/>
            </w:tcBorders>
            <w:noWrap w:val="0"/>
            <w:vAlign w:val="center"/>
          </w:tcPr>
          <w:p>
            <w:pPr>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w:t>
            </w:r>
          </w:p>
        </w:tc>
        <w:tc>
          <w:tcPr>
            <w:tcW w:w="739" w:type="dxa"/>
            <w:tcBorders>
              <w:top w:val="single" w:color="000000" w:sz="4" w:space="0"/>
              <w:left w:val="single" w:color="auto" w:sz="4" w:space="0"/>
              <w:bottom w:val="single" w:color="000000" w:sz="4" w:space="0"/>
              <w:right w:val="single" w:color="000000" w:sz="4" w:space="0"/>
            </w:tcBorders>
            <w:noWrap w:val="0"/>
            <w:vAlign w:val="center"/>
          </w:tcPr>
          <w:p>
            <w:pPr>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奖惩分</w:t>
            </w:r>
          </w:p>
        </w:tc>
        <w:tc>
          <w:tcPr>
            <w:tcW w:w="721" w:type="dxa"/>
            <w:gridSpan w:val="2"/>
            <w:tcBorders>
              <w:top w:val="single" w:color="000000" w:sz="4" w:space="0"/>
              <w:left w:val="single" w:color="auto" w:sz="4" w:space="0"/>
              <w:bottom w:val="single" w:color="000000" w:sz="4" w:space="0"/>
              <w:right w:val="single" w:color="000000" w:sz="4" w:space="0"/>
            </w:tcBorders>
            <w:noWrap w:val="0"/>
            <w:vAlign w:val="center"/>
          </w:tcPr>
          <w:p>
            <w:pPr>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特殊对象</w:t>
            </w:r>
          </w:p>
        </w:tc>
        <w:tc>
          <w:tcPr>
            <w:tcW w:w="833" w:type="dxa"/>
            <w:gridSpan w:val="2"/>
            <w:tcBorders>
              <w:top w:val="single" w:color="000000" w:sz="4" w:space="0"/>
              <w:left w:val="single" w:color="auto" w:sz="4" w:space="0"/>
              <w:bottom w:val="single" w:color="000000" w:sz="4" w:space="0"/>
              <w:right w:val="single" w:color="000000" w:sz="4" w:space="0"/>
            </w:tcBorders>
            <w:noWrap w:val="0"/>
            <w:vAlign w:val="center"/>
          </w:tcPr>
          <w:p>
            <w:pPr>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担任职务</w:t>
            </w:r>
          </w:p>
        </w:tc>
        <w:tc>
          <w:tcPr>
            <w:tcW w:w="808"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总分</w:t>
            </w:r>
          </w:p>
        </w:tc>
        <w:tc>
          <w:tcPr>
            <w:tcW w:w="605"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备注</w:t>
            </w:r>
          </w:p>
        </w:tc>
      </w:tr>
      <w:tr>
        <w:tblPrEx>
          <w:tblCellMar>
            <w:top w:w="0" w:type="dxa"/>
            <w:left w:w="108" w:type="dxa"/>
            <w:bottom w:w="0" w:type="dxa"/>
            <w:right w:w="108" w:type="dxa"/>
          </w:tblCellMar>
        </w:tblPrEx>
        <w:trPr>
          <w:trHeight w:val="1134" w:hRule="atLeast"/>
        </w:trPr>
        <w:tc>
          <w:tcPr>
            <w:tcW w:w="17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自评分</w:t>
            </w:r>
          </w:p>
        </w:tc>
        <w:tc>
          <w:tcPr>
            <w:tcW w:w="709"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783"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669"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752"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709"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739"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721"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833"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808" w:type="dxa"/>
            <w:gridSpan w:val="2"/>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c>
          <w:tcPr>
            <w:tcW w:w="605" w:type="dxa"/>
            <w:tcBorders>
              <w:top w:val="single" w:color="000000" w:sz="4" w:space="0"/>
              <w:left w:val="single" w:color="auto" w:sz="4" w:space="0"/>
              <w:bottom w:val="single" w:color="000000" w:sz="4" w:space="0"/>
              <w:right w:val="single" w:color="000000" w:sz="4" w:space="0"/>
            </w:tcBorders>
            <w:noWrap w:val="0"/>
            <w:textDirection w:val="tbRlV"/>
            <w:vAlign w:val="center"/>
          </w:tcPr>
          <w:p>
            <w:pPr>
              <w:widowControl/>
              <w:ind w:left="113" w:right="113"/>
              <w:jc w:val="center"/>
              <w:rPr>
                <w:rFonts w:hint="eastAsia" w:ascii="仿宋_GB2312" w:hAnsi="宋体" w:eastAsia="仿宋_GB2312" w:cs="宋体"/>
                <w:color w:val="000000"/>
                <w:kern w:val="0"/>
                <w:sz w:val="28"/>
                <w:szCs w:val="28"/>
              </w:rPr>
            </w:pPr>
          </w:p>
        </w:tc>
      </w:tr>
    </w:tbl>
    <w:p>
      <w:pPr>
        <w:adjustRightInd w:val="0"/>
        <w:snapToGrid w:val="0"/>
        <w:spacing w:line="600" w:lineRule="exact"/>
        <w:ind w:right="-130" w:rightChars="-62"/>
        <w:rPr>
          <w:rFonts w:ascii="仿宋_GB2312" w:hAnsi="仿宋" w:eastAsia="仿宋_GB2312"/>
          <w:sz w:val="28"/>
          <w:szCs w:val="28"/>
        </w:rPr>
      </w:pPr>
      <w:r>
        <w:rPr>
          <w:rFonts w:hint="eastAsia" w:ascii="仿宋_GB2312" w:hAnsi="仿宋" w:eastAsia="仿宋_GB2312"/>
          <w:sz w:val="28"/>
          <w:szCs w:val="28"/>
        </w:rPr>
        <w:t>备注：此表请双面打印</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spacing w:line="579"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579" w:lineRule="exact"/>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泉州市高校毕业生服务社区</w:t>
      </w:r>
      <w:r>
        <w:rPr>
          <w:rFonts w:hint="eastAsia" w:ascii="方正小标宋简体" w:hAnsi="方正小标宋简体" w:eastAsia="方正小标宋简体" w:cs="方正小标宋简体"/>
          <w:bCs/>
          <w:sz w:val="44"/>
          <w:szCs w:val="44"/>
          <w:lang w:eastAsia="zh-CN"/>
        </w:rPr>
        <w:t>计划</w:t>
      </w:r>
      <w:r>
        <w:rPr>
          <w:rFonts w:hint="eastAsia" w:ascii="方正小标宋简体" w:hAnsi="方正小标宋简体" w:eastAsia="方正小标宋简体" w:cs="方正小标宋简体"/>
          <w:bCs/>
          <w:sz w:val="44"/>
          <w:szCs w:val="44"/>
        </w:rPr>
        <w:t>量化评分标准</w:t>
      </w:r>
    </w:p>
    <w:tbl>
      <w:tblPr>
        <w:tblStyle w:val="6"/>
        <w:tblW w:w="10567" w:type="dxa"/>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276"/>
        <w:gridCol w:w="4536"/>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479" w:type="dxa"/>
            <w:noWrap w:val="0"/>
            <w:vAlign w:val="center"/>
          </w:tcPr>
          <w:p>
            <w:pPr>
              <w:jc w:val="center"/>
              <w:rPr>
                <w:rFonts w:ascii="黑体" w:hAnsi="黑体" w:eastAsia="黑体"/>
                <w:sz w:val="24"/>
              </w:rPr>
            </w:pPr>
            <w:r>
              <w:rPr>
                <w:rFonts w:hint="eastAsia" w:ascii="黑体" w:hAnsi="黑体" w:eastAsia="黑体"/>
                <w:sz w:val="24"/>
              </w:rPr>
              <w:t>序号</w:t>
            </w:r>
          </w:p>
        </w:tc>
        <w:tc>
          <w:tcPr>
            <w:tcW w:w="1276" w:type="dxa"/>
            <w:noWrap w:val="0"/>
            <w:vAlign w:val="center"/>
          </w:tcPr>
          <w:p>
            <w:pPr>
              <w:jc w:val="center"/>
              <w:rPr>
                <w:rFonts w:ascii="黑体" w:hAnsi="黑体" w:eastAsia="黑体"/>
                <w:sz w:val="24"/>
              </w:rPr>
            </w:pPr>
            <w:r>
              <w:rPr>
                <w:rFonts w:hint="eastAsia" w:ascii="黑体" w:hAnsi="黑体" w:eastAsia="黑体"/>
                <w:sz w:val="24"/>
              </w:rPr>
              <w:t>项目</w:t>
            </w:r>
          </w:p>
        </w:tc>
        <w:tc>
          <w:tcPr>
            <w:tcW w:w="4536" w:type="dxa"/>
            <w:noWrap w:val="0"/>
            <w:vAlign w:val="center"/>
          </w:tcPr>
          <w:p>
            <w:pPr>
              <w:jc w:val="center"/>
              <w:rPr>
                <w:rFonts w:ascii="黑体" w:hAnsi="黑体" w:eastAsia="黑体"/>
                <w:sz w:val="24"/>
              </w:rPr>
            </w:pPr>
            <w:r>
              <w:rPr>
                <w:rFonts w:hint="eastAsia" w:ascii="黑体" w:hAnsi="黑体" w:eastAsia="黑体"/>
                <w:sz w:val="24"/>
              </w:rPr>
              <w:t>评分标准</w:t>
            </w:r>
          </w:p>
        </w:tc>
        <w:tc>
          <w:tcPr>
            <w:tcW w:w="3276" w:type="dxa"/>
            <w:noWrap w:val="0"/>
            <w:vAlign w:val="center"/>
          </w:tcPr>
          <w:p>
            <w:pPr>
              <w:jc w:val="center"/>
              <w:rPr>
                <w:rFonts w:ascii="黑体" w:hAnsi="黑体" w:eastAsia="黑体"/>
                <w:sz w:val="24"/>
              </w:rPr>
            </w:pPr>
            <w:r>
              <w:rPr>
                <w:rFonts w:hint="eastAsia" w:ascii="黑体" w:hAnsi="黑体" w:eastAsia="黑体"/>
                <w:sz w:val="24"/>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1</w:t>
            </w:r>
          </w:p>
        </w:tc>
        <w:tc>
          <w:tcPr>
            <w:tcW w:w="1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基础分（35分）</w:t>
            </w: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符合报名条件 35分</w:t>
            </w:r>
          </w:p>
        </w:tc>
        <w:tc>
          <w:tcPr>
            <w:tcW w:w="3276" w:type="dxa"/>
            <w:noWrap w:val="0"/>
            <w:vAlign w:val="center"/>
          </w:tcPr>
          <w:p>
            <w:pPr>
              <w:adjustRightInd w:val="0"/>
              <w:snapToGrid w:val="0"/>
              <w:spacing w:line="28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479"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2</w:t>
            </w:r>
          </w:p>
        </w:tc>
        <w:tc>
          <w:tcPr>
            <w:tcW w:w="1276"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学历</w:t>
            </w:r>
          </w:p>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（15分）</w:t>
            </w: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研究生或双本科毕业 15分</w:t>
            </w:r>
          </w:p>
        </w:tc>
        <w:tc>
          <w:tcPr>
            <w:tcW w:w="3276"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毕业证书（如应届毕业生未取得毕业证的提供就业推荐表）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79"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1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本科或双专科毕业 10分</w:t>
            </w:r>
          </w:p>
        </w:tc>
        <w:tc>
          <w:tcPr>
            <w:tcW w:w="3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479"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1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专科毕业 5分</w:t>
            </w:r>
          </w:p>
        </w:tc>
        <w:tc>
          <w:tcPr>
            <w:tcW w:w="3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3</w:t>
            </w:r>
          </w:p>
        </w:tc>
        <w:tc>
          <w:tcPr>
            <w:tcW w:w="1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生源地</w:t>
            </w:r>
          </w:p>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（5分）</w:t>
            </w: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户籍在报名服务社区所在县 5分</w:t>
            </w:r>
          </w:p>
        </w:tc>
        <w:tc>
          <w:tcPr>
            <w:tcW w:w="3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cs="宋体"/>
                <w:color w:val="000000"/>
                <w:kern w:val="0"/>
                <w:sz w:val="21"/>
                <w:szCs w:val="21"/>
              </w:rPr>
              <w:t>家庭户口簿和本人身份证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79"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4</w:t>
            </w:r>
          </w:p>
        </w:tc>
        <w:tc>
          <w:tcPr>
            <w:tcW w:w="1276"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政治面貌（5分）</w:t>
            </w: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中共正式党员 5分</w:t>
            </w:r>
          </w:p>
        </w:tc>
        <w:tc>
          <w:tcPr>
            <w:tcW w:w="3276"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所在党组织开具的党员证明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79"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1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中共预备党员 3分</w:t>
            </w:r>
          </w:p>
        </w:tc>
        <w:tc>
          <w:tcPr>
            <w:tcW w:w="3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5</w:t>
            </w:r>
          </w:p>
        </w:tc>
        <w:tc>
          <w:tcPr>
            <w:tcW w:w="1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专业</w:t>
            </w:r>
          </w:p>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（10分）</w:t>
            </w:r>
          </w:p>
        </w:tc>
        <w:tc>
          <w:tcPr>
            <w:tcW w:w="4536" w:type="dxa"/>
            <w:noWrap w:val="0"/>
            <w:vAlign w:val="center"/>
          </w:tcPr>
          <w:p>
            <w:pPr>
              <w:widowControl/>
              <w:adjustRightInd w:val="0"/>
              <w:snapToGrid w:val="0"/>
              <w:spacing w:line="280" w:lineRule="exact"/>
              <w:ind w:firstLine="120"/>
              <w:jc w:val="center"/>
              <w:rPr>
                <w:rFonts w:hint="eastAsia" w:ascii="仿宋_GB2312" w:hAnsi="宋体" w:eastAsia="仿宋_GB2312" w:cs="宋体"/>
                <w:kern w:val="0"/>
                <w:sz w:val="21"/>
                <w:szCs w:val="21"/>
              </w:rPr>
            </w:pPr>
            <w:r>
              <w:rPr>
                <w:rFonts w:hint="eastAsia" w:ascii="仿宋_GB2312" w:hAnsi="宋体" w:eastAsia="仿宋_GB2312" w:cs="宋体"/>
                <w:color w:val="000000"/>
                <w:kern w:val="0"/>
                <w:sz w:val="21"/>
                <w:szCs w:val="21"/>
              </w:rPr>
              <w:t>社会工作专业 10分；</w:t>
            </w:r>
          </w:p>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社会学类、中国语言文学类、新闻传播学类、公共管理类、法学类专业 5分</w:t>
            </w:r>
          </w:p>
        </w:tc>
        <w:tc>
          <w:tcPr>
            <w:tcW w:w="3276" w:type="dxa"/>
            <w:noWrap w:val="0"/>
            <w:vAlign w:val="center"/>
          </w:tcPr>
          <w:p>
            <w:pPr>
              <w:adjustRightInd w:val="0"/>
              <w:snapToGrid w:val="0"/>
              <w:spacing w:line="280" w:lineRule="exact"/>
              <w:jc w:val="center"/>
              <w:rPr>
                <w:rFonts w:hint="eastAsia" w:ascii="仿宋_GB2312" w:hAnsi="宋体"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79"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6</w:t>
            </w:r>
          </w:p>
        </w:tc>
        <w:tc>
          <w:tcPr>
            <w:tcW w:w="1276" w:type="dxa"/>
            <w:vMerge w:val="restart"/>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奖惩分（20分）</w:t>
            </w:r>
          </w:p>
        </w:tc>
        <w:tc>
          <w:tcPr>
            <w:tcW w:w="453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cs="宋体"/>
                <w:color w:val="000000"/>
                <w:kern w:val="0"/>
                <w:sz w:val="21"/>
                <w:szCs w:val="21"/>
              </w:rPr>
              <w:t>获得荣誉。省级及以上、市级、校级、院（系）的，每次分别得4、3、2、1分</w:t>
            </w:r>
          </w:p>
        </w:tc>
        <w:tc>
          <w:tcPr>
            <w:tcW w:w="3276" w:type="dxa"/>
            <w:vMerge w:val="restart"/>
            <w:noWrap w:val="0"/>
            <w:vAlign w:val="center"/>
          </w:tcPr>
          <w:p>
            <w:pPr>
              <w:widowControl/>
              <w:adjustRightInd w:val="0"/>
              <w:snapToGrid w:val="0"/>
              <w:spacing w:line="280" w:lineRule="exact"/>
              <w:ind w:firstLine="120"/>
              <w:jc w:val="center"/>
              <w:rPr>
                <w:rFonts w:hint="eastAsia" w:ascii="仿宋_GB2312" w:hAnsi="宋体" w:eastAsia="仿宋_GB2312" w:cs="宋体"/>
                <w:kern w:val="0"/>
                <w:sz w:val="21"/>
                <w:szCs w:val="21"/>
              </w:rPr>
            </w:pPr>
            <w:r>
              <w:rPr>
                <w:rFonts w:hint="eastAsia" w:ascii="仿宋_GB2312" w:hAnsi="宋体" w:eastAsia="仿宋_GB2312" w:cs="宋体"/>
                <w:color w:val="000000"/>
                <w:kern w:val="0"/>
                <w:sz w:val="21"/>
                <w:szCs w:val="21"/>
              </w:rPr>
              <w:t>荣誉证书、奖状等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479"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1276" w:type="dxa"/>
            <w:vMerge w:val="continue"/>
            <w:noWrap w:val="0"/>
            <w:vAlign w:val="center"/>
          </w:tcPr>
          <w:p>
            <w:pPr>
              <w:adjustRightInd w:val="0"/>
              <w:snapToGrid w:val="0"/>
              <w:spacing w:line="280" w:lineRule="exact"/>
              <w:jc w:val="center"/>
              <w:rPr>
                <w:rFonts w:hint="eastAsia" w:ascii="仿宋_GB2312" w:hAnsi="宋体" w:eastAsia="仿宋_GB2312"/>
                <w:sz w:val="21"/>
                <w:szCs w:val="21"/>
              </w:rPr>
            </w:pPr>
          </w:p>
        </w:tc>
        <w:tc>
          <w:tcPr>
            <w:tcW w:w="4536" w:type="dxa"/>
            <w:noWrap w:val="0"/>
            <w:vAlign w:val="center"/>
          </w:tcPr>
          <w:p>
            <w:pPr>
              <w:adjustRightInd w:val="0"/>
              <w:snapToGrid w:val="0"/>
              <w:spacing w:line="28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年度奖学金。省级及以上、市级、校级、院（系）的，每次分别得4、3、2、1分。（未设年度奖学金的院校，学期奖学金对应分值为年度奖学金的一半）</w:t>
            </w:r>
          </w:p>
        </w:tc>
        <w:tc>
          <w:tcPr>
            <w:tcW w:w="3276" w:type="dxa"/>
            <w:vMerge w:val="continue"/>
            <w:noWrap w:val="0"/>
            <w:vAlign w:val="center"/>
          </w:tcPr>
          <w:p>
            <w:pPr>
              <w:widowControl/>
              <w:adjustRightInd w:val="0"/>
              <w:snapToGrid w:val="0"/>
              <w:spacing w:line="280" w:lineRule="exact"/>
              <w:ind w:firstLine="120"/>
              <w:jc w:val="center"/>
              <w:rPr>
                <w:rFonts w:hint="eastAsia" w:ascii="仿宋_GB2312" w:hAnsi="宋体" w:eastAsia="仿宋_GB2312"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7</w:t>
            </w:r>
          </w:p>
        </w:tc>
        <w:tc>
          <w:tcPr>
            <w:tcW w:w="1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特殊对象</w:t>
            </w:r>
          </w:p>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（5分）</w:t>
            </w:r>
          </w:p>
        </w:tc>
        <w:tc>
          <w:tcPr>
            <w:tcW w:w="4536" w:type="dxa"/>
            <w:noWrap w:val="0"/>
            <w:vAlign w:val="center"/>
          </w:tcPr>
          <w:p>
            <w:pPr>
              <w:adjustRightInd w:val="0"/>
              <w:snapToGrid w:val="0"/>
              <w:spacing w:line="280" w:lineRule="exac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建档立卡的贫困户、特困户、低保户 5分；</w:t>
            </w:r>
          </w:p>
          <w:p>
            <w:pPr>
              <w:adjustRightInd w:val="0"/>
              <w:snapToGrid w:val="0"/>
              <w:spacing w:line="280" w:lineRule="exac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烈士子女，因公牺牲国家机关工作人员、人民警察、军人子女 5分</w:t>
            </w:r>
          </w:p>
        </w:tc>
        <w:tc>
          <w:tcPr>
            <w:tcW w:w="3276" w:type="dxa"/>
            <w:noWrap w:val="0"/>
            <w:vAlign w:val="center"/>
          </w:tcPr>
          <w:p>
            <w:pPr>
              <w:adjustRightInd w:val="0"/>
              <w:snapToGrid w:val="0"/>
              <w:spacing w:line="280" w:lineRule="exac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《扶贫手册》、《特困人员救助供养证》、《城乡居民最低生活保障证》或由户籍地扶贫部门、县（市、区）民政部门出具的家庭经济困难证明；烈士证明、因公牺牲证明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8</w:t>
            </w:r>
          </w:p>
        </w:tc>
        <w:tc>
          <w:tcPr>
            <w:tcW w:w="1276"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担任职务（5分）</w:t>
            </w:r>
          </w:p>
        </w:tc>
        <w:tc>
          <w:tcPr>
            <w:tcW w:w="4536" w:type="dxa"/>
            <w:noWrap w:val="0"/>
            <w:vAlign w:val="center"/>
          </w:tcPr>
          <w:p>
            <w:pPr>
              <w:adjustRightInd w:val="0"/>
              <w:snapToGrid w:val="0"/>
              <w:spacing w:line="28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担任过校级组织主要干部 5分</w:t>
            </w:r>
          </w:p>
          <w:p>
            <w:pPr>
              <w:adjustRightInd w:val="0"/>
              <w:snapToGrid w:val="0"/>
              <w:spacing w:line="28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担任过院（系）级组织主要干部 3分</w:t>
            </w:r>
          </w:p>
          <w:p>
            <w:pPr>
              <w:adjustRightInd w:val="0"/>
              <w:snapToGrid w:val="0"/>
              <w:spacing w:line="28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担任过班级班长、团支书2分</w:t>
            </w:r>
          </w:p>
        </w:tc>
        <w:tc>
          <w:tcPr>
            <w:tcW w:w="3276" w:type="dxa"/>
            <w:noWrap w:val="0"/>
            <w:vAlign w:val="center"/>
          </w:tcPr>
          <w:p>
            <w:pPr>
              <w:adjustRightInd w:val="0"/>
              <w:snapToGrid w:val="0"/>
              <w:spacing w:line="280" w:lineRule="exac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聘书或学校开具的证明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479" w:type="dxa"/>
            <w:noWrap w:val="0"/>
            <w:vAlign w:val="center"/>
          </w:tcPr>
          <w:p>
            <w:pPr>
              <w:adjustRightInd w:val="0"/>
              <w:snapToGrid w:val="0"/>
              <w:spacing w:line="280" w:lineRule="exact"/>
              <w:jc w:val="center"/>
              <w:rPr>
                <w:rFonts w:hint="eastAsia" w:ascii="仿宋_GB2312" w:hAnsi="宋体" w:eastAsia="仿宋_GB2312"/>
                <w:sz w:val="21"/>
                <w:szCs w:val="21"/>
              </w:rPr>
            </w:pPr>
            <w:r>
              <w:rPr>
                <w:rFonts w:hint="eastAsia" w:ascii="仿宋_GB2312" w:hAnsi="宋体" w:eastAsia="仿宋_GB2312"/>
                <w:sz w:val="21"/>
                <w:szCs w:val="21"/>
              </w:rPr>
              <w:t>备注</w:t>
            </w:r>
          </w:p>
        </w:tc>
        <w:tc>
          <w:tcPr>
            <w:tcW w:w="9088" w:type="dxa"/>
            <w:gridSpan w:val="3"/>
            <w:noWrap w:val="0"/>
            <w:vAlign w:val="center"/>
          </w:tcPr>
          <w:p>
            <w:pPr>
              <w:widowControl/>
              <w:adjustRightInd w:val="0"/>
              <w:snapToGrid w:val="0"/>
              <w:spacing w:line="28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1、获得荣誉仅含优秀毕业生，优秀学生干部、三好学生、优秀共产党员、优秀共青团员、优秀团干部，不包括单项表彰项目；奖励分可累加，最高得分20分；</w:t>
            </w:r>
          </w:p>
          <w:p>
            <w:pPr>
              <w:adjustRightInd w:val="0"/>
              <w:snapToGrid w:val="0"/>
              <w:spacing w:line="28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2、同等条件下，优先招募派遣低保、低收入家庭、就业困难的高校毕业生、岗位所在地县、乡镇（街道）生源的毕业生、退役大学生士兵、残疾毕业生、少数民族毕业生；</w:t>
            </w:r>
          </w:p>
          <w:p>
            <w:pPr>
              <w:adjustRightInd w:val="0"/>
              <w:snapToGrid w:val="0"/>
              <w:spacing w:line="28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3、报名人员对所提交信息及证明材料的真实性负责，若有虚假或伪造，一经查实即取消报名和派遣资格。</w:t>
            </w:r>
          </w:p>
        </w:tc>
      </w:tr>
    </w:tbl>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spacing w:line="579"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jc w:val="center"/>
        <w:textAlignment w:val="auto"/>
        <w:rPr>
          <w:rFonts w:ascii="宋体" w:eastAsia="宋体"/>
          <w:b/>
          <w:bCs/>
          <w:color w:val="000000"/>
          <w:sz w:val="40"/>
          <w:szCs w:val="44"/>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jc w:val="center"/>
        <w:textAlignment w:val="auto"/>
        <w:rPr>
          <w:rFonts w:hint="eastAsia"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泉州市2021年高校毕业生服务社区计划        招募社区名单</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jc w:val="center"/>
        <w:textAlignment w:val="auto"/>
        <w:rPr>
          <w:rFonts w:hint="eastAsia" w:ascii="宋体" w:eastAsia="宋体"/>
          <w:b/>
          <w:bCs/>
          <w:color w:val="000000"/>
          <w:sz w:val="40"/>
          <w:szCs w:val="44"/>
        </w:rPr>
      </w:pPr>
    </w:p>
    <w:tbl>
      <w:tblPr>
        <w:tblStyle w:val="6"/>
        <w:tblW w:w="0" w:type="auto"/>
        <w:tblInd w:w="97" w:type="dxa"/>
        <w:tblLayout w:type="fixed"/>
        <w:tblCellMar>
          <w:top w:w="0" w:type="dxa"/>
          <w:left w:w="108" w:type="dxa"/>
          <w:bottom w:w="0" w:type="dxa"/>
          <w:right w:w="108" w:type="dxa"/>
        </w:tblCellMar>
      </w:tblPr>
      <w:tblGrid>
        <w:gridCol w:w="701"/>
        <w:gridCol w:w="3135"/>
        <w:gridCol w:w="701"/>
        <w:gridCol w:w="701"/>
        <w:gridCol w:w="2949"/>
        <w:gridCol w:w="701"/>
      </w:tblGrid>
      <w:tr>
        <w:tblPrEx>
          <w:tblCellMar>
            <w:top w:w="0" w:type="dxa"/>
            <w:left w:w="108" w:type="dxa"/>
            <w:bottom w:w="0" w:type="dxa"/>
            <w:right w:w="108" w:type="dxa"/>
          </w:tblCellMar>
        </w:tblPrEx>
        <w:trPr>
          <w:trHeight w:val="567"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31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服务社区</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名额</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94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服务社区</w:t>
            </w:r>
          </w:p>
        </w:tc>
        <w:tc>
          <w:tcPr>
            <w:tcW w:w="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黑体" w:hAnsi="黑体" w:eastAsia="黑体" w:cs="宋体"/>
                <w:color w:val="000000"/>
                <w:kern w:val="0"/>
                <w:sz w:val="24"/>
              </w:rPr>
            </w:pPr>
            <w:r>
              <w:rPr>
                <w:rFonts w:hint="eastAsia" w:ascii="黑体" w:hAnsi="黑体" w:eastAsia="黑体" w:cs="宋体"/>
                <w:color w:val="000000"/>
                <w:kern w:val="0"/>
                <w:sz w:val="24"/>
              </w:rPr>
              <w:t>名额</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安溪县凤城镇兴安社区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sz w:val="24"/>
                <w:szCs w:val="20"/>
              </w:rPr>
            </w:pPr>
            <w:r>
              <w:rPr>
                <w:rFonts w:hint="eastAsia" w:ascii="仿宋_GB2312" w:hAnsi="宋体" w:eastAsia="仿宋_GB2312" w:cs="宋体"/>
                <w:color w:val="000000"/>
                <w:kern w:val="0"/>
                <w:sz w:val="24"/>
              </w:rPr>
              <w:t>永春县东关镇龙坑社区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安溪县凤城镇清水湾社区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sz w:val="24"/>
                <w:szCs w:val="20"/>
              </w:rPr>
            </w:pPr>
            <w:r>
              <w:rPr>
                <w:rFonts w:hint="eastAsia" w:ascii="仿宋_GB2312" w:hAnsi="宋体" w:eastAsia="仿宋_GB2312" w:cs="宋体"/>
                <w:color w:val="000000"/>
                <w:kern w:val="0"/>
                <w:sz w:val="24"/>
              </w:rPr>
              <w:t>永春县东关镇北</w:t>
            </w:r>
            <w:r>
              <w:rPr>
                <w:rFonts w:hint="eastAsia" w:ascii="宋体" w:hAnsi="宋体" w:cs="宋体"/>
                <w:color w:val="000000"/>
                <w:kern w:val="0"/>
                <w:sz w:val="24"/>
              </w:rPr>
              <w:t>硿</w:t>
            </w:r>
            <w:r>
              <w:rPr>
                <w:rFonts w:hint="eastAsia" w:ascii="仿宋_GB2312" w:hAnsi="仿宋_GB2312" w:eastAsia="仿宋_GB2312" w:cs="仿宋_GB2312"/>
                <w:color w:val="000000"/>
                <w:kern w:val="0"/>
                <w:sz w:val="24"/>
              </w:rPr>
              <w:t>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安溪县凤城镇华凤社区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sz w:val="24"/>
                <w:szCs w:val="20"/>
              </w:rPr>
            </w:pPr>
            <w:r>
              <w:rPr>
                <w:rFonts w:hint="eastAsia" w:ascii="仿宋_GB2312" w:hAnsi="宋体" w:eastAsia="仿宋_GB2312" w:cs="宋体"/>
                <w:color w:val="000000"/>
                <w:kern w:val="0"/>
                <w:sz w:val="24"/>
              </w:rPr>
              <w:t>永春县石鼓镇桃星社区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安溪县凤城镇华龙社区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sz w:val="24"/>
                <w:szCs w:val="20"/>
              </w:rPr>
            </w:pPr>
            <w:r>
              <w:rPr>
                <w:rFonts w:hint="eastAsia" w:ascii="仿宋_GB2312" w:hAnsi="宋体" w:eastAsia="仿宋_GB2312" w:cs="宋体"/>
                <w:color w:val="000000"/>
                <w:kern w:val="0"/>
                <w:sz w:val="24"/>
              </w:rPr>
              <w:t>永春县石鼓镇桃联社区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安溪县城厢镇建安社区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德化县浔中镇龙东社区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安溪县城厢镇城西社区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德化县浔中镇凤凰社区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安溪县城厢镇五峰社区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德化县浔中镇吉祥社区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安溪县城厢镇德苑社区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德化县浔中镇东裕社区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永春县桃城镇桃溪社区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德化县浔中镇祥安社区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永春县桃城镇环翠社区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德化县龙浔镇湖前社区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永春县桃城镇德风社区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德化县龙浔镇兴南社区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永春县桃城镇长安社区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德化县龙浔镇南门社区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永春县五里街镇华岩社区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德化县龙浔镇大洋社区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r>
        <w:tblPrEx>
          <w:tblCellMar>
            <w:top w:w="0" w:type="dxa"/>
            <w:left w:w="108" w:type="dxa"/>
            <w:bottom w:w="0" w:type="dxa"/>
            <w:right w:w="108" w:type="dxa"/>
          </w:tblCellMar>
        </w:tblPrEx>
        <w:trPr>
          <w:trHeight w:val="567" w:hRule="atLeast"/>
        </w:trPr>
        <w:tc>
          <w:tcPr>
            <w:tcW w:w="70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313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永春县五里街镇仰贤社区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294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德化县龙浔镇鹏祥社区</w:t>
            </w:r>
          </w:p>
        </w:tc>
        <w:tc>
          <w:tcPr>
            <w:tcW w:w="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1名</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799"/>
        </w:tabs>
        <w:kinsoku/>
        <w:wordWrap/>
        <w:overflowPunct/>
        <w:topLinePunct w:val="0"/>
        <w:autoSpaceDE/>
        <w:autoSpaceDN/>
        <w:bidi w:val="0"/>
        <w:adjustRightInd w:val="0"/>
        <w:snapToGrid w:val="0"/>
        <w:spacing w:line="75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75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75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pBdr>
        <w:kinsoku/>
        <w:wordWrap/>
        <w:overflowPunct/>
        <w:topLinePunct w:val="0"/>
        <w:autoSpaceDE/>
        <w:autoSpaceDN/>
        <w:bidi w:val="0"/>
        <w:adjustRightInd w:val="0"/>
        <w:snapToGrid w:val="0"/>
        <w:spacing w:line="579" w:lineRule="exact"/>
        <w:ind w:firstLine="240" w:firstLineChars="100"/>
        <w:textAlignment w:val="auto"/>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抄送：省委组织部，省民政厅、省教育厅、省财政厅、省人力资源和社会保障厅。</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泉州市民政局办公室</w:t>
      </w:r>
      <w:r>
        <w:rPr>
          <w:rFonts w:hint="eastAsia" w:ascii="仿宋_GB2312" w:hAnsi="仿宋_GB2312" w:eastAsia="仿宋_GB2312" w:cs="仿宋_GB2312"/>
          <w:sz w:val="28"/>
          <w:szCs w:val="28"/>
          <w:lang w:val="en-US" w:eastAsia="zh-CN"/>
        </w:rPr>
        <w:t xml:space="preserve">                      2021年4月28日印发</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32B05"/>
    <w:rsid w:val="112D1B5D"/>
    <w:rsid w:val="32B32B05"/>
    <w:rsid w:val="43B31E0D"/>
    <w:rsid w:val="686F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7020"/>
      </w:tabs>
      <w:spacing w:line="400" w:lineRule="exact"/>
      <w:ind w:firstLine="640" w:firstLineChars="200"/>
    </w:pPr>
    <w:rPr>
      <w:rFonts w:ascii="仿宋_GB2312" w:hAnsi="宋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仿宋_GB2312" w:hAnsi="宋体" w:eastAsia="仿宋_GB2312"/>
      <w:kern w:val="0"/>
      <w:sz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2021-04-28T01:53:00Z</dcterms:created>
  <dc:creator>Administrator</dc:creator>
  <cp:lastModifiedBy>Administrator</cp:lastModifiedBy>
  <cp:lastPrinted>2021-04-28T07:42:00Z</cp:lastPrinted>
  <dcterms:modified xsi:type="dcterms:W3CDTF">2021-04-28T07:59:09Z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