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right"/>
        <w:rPr>
          <w:rFonts w:hint="eastAsia" w:ascii="仿宋_GB2312" w:cs="仿宋_GB2312"/>
          <w:szCs w:val="32"/>
        </w:rPr>
      </w:pPr>
    </w:p>
    <w:p>
      <w:pPr>
        <w:widowControl/>
        <w:adjustRightInd w:val="0"/>
        <w:snapToGrid w:val="0"/>
        <w:spacing w:line="560" w:lineRule="exact"/>
        <w:jc w:val="right"/>
        <w:rPr>
          <w:rFonts w:hint="eastAsia" w:ascii="仿宋_GB2312" w:cs="仿宋_GB2312"/>
          <w:szCs w:val="32"/>
        </w:rPr>
      </w:pPr>
    </w:p>
    <w:p>
      <w:pPr>
        <w:widowControl/>
        <w:adjustRightInd w:val="0"/>
        <w:snapToGrid w:val="0"/>
        <w:spacing w:line="560" w:lineRule="exact"/>
        <w:jc w:val="right"/>
        <w:rPr>
          <w:rFonts w:hint="eastAsia" w:ascii="仿宋_GB2312" w:cs="仿宋_GB2312"/>
          <w:szCs w:val="32"/>
        </w:rPr>
      </w:pPr>
    </w:p>
    <w:p>
      <w:pPr>
        <w:widowControl/>
        <w:adjustRightInd w:val="0"/>
        <w:snapToGrid w:val="0"/>
        <w:spacing w:line="560" w:lineRule="exact"/>
        <w:jc w:val="right"/>
        <w:rPr>
          <w:rFonts w:hint="eastAsia" w:ascii="仿宋_GB2312" w:cs="仿宋_GB2312"/>
          <w:szCs w:val="32"/>
        </w:rPr>
      </w:pPr>
    </w:p>
    <w:p>
      <w:pPr>
        <w:widowControl/>
        <w:adjustRightInd w:val="0"/>
        <w:snapToGrid w:val="0"/>
        <w:spacing w:line="560" w:lineRule="exact"/>
        <w:jc w:val="right"/>
        <w:rPr>
          <w:rFonts w:hint="eastAsia" w:ascii="仿宋_GB2312" w:cs="仿宋_GB2312"/>
          <w:szCs w:val="32"/>
        </w:rPr>
      </w:pPr>
    </w:p>
    <w:p>
      <w:pPr>
        <w:widowControl/>
        <w:adjustRightInd w:val="0"/>
        <w:snapToGrid w:val="0"/>
        <w:spacing w:line="579" w:lineRule="exact"/>
        <w:jc w:val="right"/>
        <w:rPr>
          <w:rFonts w:hint="eastAsia" w:ascii="仿宋_GB2312" w:cs="仿宋_GB2312"/>
          <w:szCs w:val="32"/>
        </w:rPr>
      </w:pPr>
      <w:r>
        <w:rPr>
          <w:rFonts w:hint="eastAsia" w:ascii="仿宋_GB2312" w:cs="仿宋_GB2312"/>
          <w:szCs w:val="32"/>
        </w:rPr>
        <w:t>泉民函〔2021〕</w:t>
      </w:r>
      <w:r>
        <w:rPr>
          <w:rFonts w:hint="eastAsia" w:ascii="仿宋_GB2312" w:cs="仿宋_GB2312"/>
          <w:szCs w:val="32"/>
          <w:lang w:val="en-US" w:eastAsia="zh-CN"/>
        </w:rPr>
        <w:t>99</w:t>
      </w:r>
      <w:r>
        <w:rPr>
          <w:rFonts w:hint="eastAsia" w:ascii="仿宋_GB2312" w:cs="仿宋_GB2312"/>
          <w:szCs w:val="32"/>
        </w:rPr>
        <w:t>号</w:t>
      </w:r>
    </w:p>
    <w:p>
      <w:pPr>
        <w:widowControl/>
        <w:adjustRightInd w:val="0"/>
        <w:snapToGrid w:val="0"/>
        <w:spacing w:line="579" w:lineRule="exact"/>
        <w:rPr>
          <w:rFonts w:hint="eastAsia" w:ascii="仿宋_GB2312" w:eastAsia="仿宋_GB2312" w:cs="仿宋_GB2312"/>
          <w:szCs w:val="32"/>
          <w:lang w:val="en-US" w:eastAsia="zh-CN"/>
        </w:rPr>
      </w:pPr>
      <w:r>
        <w:rPr>
          <w:rFonts w:hint="eastAsia" w:ascii="仿宋_GB2312" w:cs="仿宋_GB2312"/>
          <w:szCs w:val="32"/>
        </w:rPr>
        <w:t xml:space="preserve">                                         答复类型：</w:t>
      </w:r>
      <w:r>
        <w:rPr>
          <w:rFonts w:hint="eastAsia" w:ascii="仿宋_GB2312" w:cs="仿宋_GB2312"/>
          <w:szCs w:val="32"/>
          <w:lang w:val="en-US" w:eastAsia="zh-CN"/>
        </w:rPr>
        <w:t>A</w:t>
      </w:r>
    </w:p>
    <w:p>
      <w:pPr>
        <w:widowControl/>
        <w:adjustRightInd w:val="0"/>
        <w:snapToGrid w:val="0"/>
        <w:spacing w:line="579" w:lineRule="exact"/>
        <w:rPr>
          <w:rFonts w:hint="eastAsia" w:ascii="仿宋_GB2312" w:cs="仿宋_GB2312"/>
          <w:szCs w:val="32"/>
        </w:rPr>
      </w:pP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关于市政协十二届五次会议</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第2021294号提案的答复函</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9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柯永辉委员：</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您提出的《关于推进智慧社区建设 提升市民幸福感的提案》（第2021294号</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收悉，由我单位会同数字泉州建设办公室、市住房和城乡建设局办理。我局高度重视，立即召开专题会议研究，成立泉州市民政局2021年度人大建议和政协提案办理工作领导小组，现将有关情况汇总答复如下：</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社会正朝着数字化、网络化、智能化的方向快速发展，智慧社区作为社区治理创新的一种新模式，加强智慧社区建设有利于进一步完善我市社区服务体系，推动我市基层治理现代化。近年来，我市始终将推进社区管理服务智能化作为一项重要工作纳入社区建设整体布局，主要体现在：</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一、推动基础设施智能提升</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印发《关于进一步加强社区服务站规范化建设的通知》，指导社区服务站实行“一站式”服务，采取“前台一同受理、后台分类处理、分片区网格化管理”的工作模式，与社区网格化社会服务管理工作有效衔接。完善社区服务站功能，推动社区服务站与一体化行政审批系统平台对接，打造“便民15分钟服务圈”。市住建局结合老旧小区改造提升工作，将安防监控设施、道闸门禁系统等纳入整治提升范畴。自全面启动老旧小区改造专项行动以来，积极争取上级资金，用于老旧小区改造提升。截至2020年底，全市完成240个老旧小区改造提升项目，重点开展水、电、路、气等基础设施建设改造等工作</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惠及9万户家庭。简化专项维修资金申请程序，充分发挥住宅专项维修资金在住宅共用部位、共用设施设备维修、更新和改造中的作用，支持住宅小区安防设施设备的改造及升级。</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二、强化智慧平台开发运用</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我局按照省上部署，全面推广应用全国基层建设和社区治理信息系统，对村（居</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委会信息进行集中汇聚、统一管理，实现动态更新，让基层通过信息系统即可了解村（社区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的基本情况。同时通过开展“共建共享”社区治理项目，实施定发展目标、布局功能化、管理智能化、服务人本化、协作社会化、保障多元化的社区治理机制，努力把城乡社区建设成为和谐有序、绿色文明、创新包容、共建共享的幸福家园。如丰泽区以“智慧丰泽”项目建设为依托，面向全区社区构建社区综合管理、物业管理、便民服务等20个“智慧社区”子系统，为社区提供更便捷高效的服务监管体系。南安市梅山镇灯光村在全省首建智慧村庄平台，开通“智慧灯光”微信公众号，为村民提供便民服务、智慧党建、环境卫生举报、村长热线、智慧健康等多样服务，让村民群众能够享受更加便捷畅通的服务，提高村民的参与感、获得感。</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三、做好“智慧物业小区”建设</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督促指导各县（市、区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物业主管部门做好辖区物业住宅小区人员密集场所的视频监控建设情况的调查摸底工作，对尚未安装视频监控的场所，配置符合联网应用建设要求的监控设备，逐步推进物业住宅小区的门岗、公共停车场等人员密集场所实现公共安全视频监控全覆盖；对已经安装视频监控系统的场所，逐步完善智慧化改造，最终实现“雪亮工程”信息平台互联互通。搭建物业管理监管平台，通过搭设物业管理、业主大会和业委会管理、招投标管理、第三方评估监理、专家与专家库管理等模块，对物业企业、物业项目、项目经理、业主大会的筹备与成立、业委会的选举换届与成员变更、前期物业招投标、物业专家的申请培训和考核等进行线上监管，做到数据联网，进一步规范物业企业和业委会行为，推进全市物业服务管理工作规范化、标准化、精细化发展。</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四、加强数据资源共享力度</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市数字办建设市汇聚共享平台，通过与省级平台和市直、县（市、区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各自建系统的对接，实现国家、省级泉州属地政务数据的回流和市、县两级自建系统业务数据的汇聚，建立全市政务数据资源中心</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通过统一的数据共享服务方式，打破“数据壁垒”，实现跨层级、跨部门、跨系统的数据共享需求，为全市各级各部门开展政务服务、行政管理、辅助决策等提供数据支撑服务。截至2021年3月底，市汇聚共享平台共汇聚省、市、县三级数据总量约23.99亿条。</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五、提高掌上便民政务服务水平</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xml:space="preserve">根据省上统一部署，泉州市数字泉州建设领导小组下发《进一步加强闽政通“泉服务”推广应用的通知》，明确我市各级各单位不再新建面向公众的政务服务APP，统一依托“泉服务”服务平台建设一站式的泉州“掌上政务”便民服务入口，打造“一个门户、一个标准、一套制度”的新型建设模式，为社会公众和企业提供全市政务服务统一入口、统一导航。目前已上线各类便民服务事项37项，覆盖各部门多个网上办事服务，以及丰泽、石狮、晋江等县级政务服务。同时，服务平台将适时导入可信社会服务资源，现已与泉州晚报、支付宝、专业征信机构等可信社会第三方机构开展合作，将逐步提供便民资讯、征信服务、交通出行、求职就业、家政服务等增值类社会服务，并逐步扩大服务覆盖范围，强化服务监管评价，不断满足公众和企业日益增长的多样化服务需求。 </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六、促进多元协同共治</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我局积极培育发展社区社会组织，探索建立社区社会组织孵化基地，通过社区社会组织参与社区议事、管理社区事务、参与和享受社区服务，推进完善群众参与基层社会治理的渠道，增强社区居民的归属感和主人翁意识。同时，推动协商民主向基层群众延伸，指导城乡社区充分利用社区网站、微信公众号、微信群等现代化手段开展线上协商、收集解决群众问题，提升线上服务能力。</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下一步，我局将结合提案建议和民政职责，按照市委、市政府的统一部署安排，积极协助配合有关部门，不断加强智慧社区建设工作，持续提升我市基层社会治理水平。</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领导署名：李玉霜</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联系人：柯超岚</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联系电话：22500623</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xml:space="preserve">           泉州市民政局</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w:t>
      </w:r>
      <w:r>
        <w:rPr>
          <w:rFonts w:hint="eastAsia" w:ascii="仿宋_GB2312" w:hAnsi="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27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val="0"/>
        <w:snapToGrid w:val="0"/>
        <w:spacing w:line="599" w:lineRule="exact"/>
        <w:textAlignment w:val="auto"/>
        <w:rPr>
          <w:rFonts w:hint="eastAsia" w:ascii="仿宋_GB2312" w:hAnsi="仿宋_GB2312" w:eastAsia="仿宋_GB2312" w:cs="仿宋_GB2312"/>
          <w:sz w:val="32"/>
          <w:szCs w:val="32"/>
        </w:rPr>
        <w:sectPr>
          <w:footerReference r:id="rId3" w:type="default"/>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9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9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textAlignment w:val="auto"/>
        <w:rPr>
          <w:rFonts w:hint="eastAsia" w:ascii="仿宋_GB2312" w:hAnsi="仿宋_GB2312" w:eastAsia="仿宋_GB2312" w:cs="仿宋_GB2312"/>
          <w:sz w:val="32"/>
          <w:szCs w:val="32"/>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val="0"/>
        <w:snapToGrid w:val="0"/>
        <w:spacing w:line="599" w:lineRule="exact"/>
        <w:ind w:firstLine="280" w:firstLineChars="1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抄送：市政府办公室、市政协提案委</w:t>
      </w:r>
      <w:r>
        <w:rPr>
          <w:rFonts w:hint="eastAsia" w:ascii="仿宋_GB2312" w:hAnsi="仿宋_GB2312" w:cs="仿宋_GB2312"/>
          <w:sz w:val="28"/>
          <w:szCs w:val="28"/>
          <w:lang w:eastAsia="zh-CN"/>
        </w:rPr>
        <w:t>。</w:t>
      </w:r>
    </w:p>
    <w:sectPr>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E76F75"/>
    <w:rsid w:val="36E76F75"/>
    <w:rsid w:val="5C0C23C8"/>
    <w:rsid w:val="7CC61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2021-07-29T03:14:00Z</dcterms:created>
  <dc:creator>Administrator</dc:creator>
  <cp:lastModifiedBy>Administrator</cp:lastModifiedBy>
  <cp:lastPrinted>2021-08-05T09:49:07Z</cp:lastPrinted>
  <dcterms:modified xsi:type="dcterms:W3CDTF">2021-08-05T09:49:10Z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