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附件4</w:t>
      </w:r>
    </w:p>
    <w:p>
      <w:pPr>
        <w:ind w:firstLine="632" w:firstLineChars="150"/>
        <w:jc w:val="center"/>
        <w:rPr>
          <w:rFonts w:hint="eastAsia" w:ascii="黑体" w:hAnsi="黑体" w:eastAsia="黑体" w:cs="Times New Roman"/>
          <w:sz w:val="44"/>
          <w:szCs w:val="44"/>
        </w:rPr>
      </w:pPr>
      <w:r>
        <w:rPr>
          <w:rFonts w:hint="eastAsia" w:ascii="宋体" w:hAnsi="宋体" w:eastAsia="宋体" w:cs="Times New Roman"/>
          <w:b/>
          <w:sz w:val="44"/>
          <w:szCs w:val="44"/>
        </w:rPr>
        <w:t>证明事项告知承诺制分类核查办法</w:t>
      </w:r>
      <w:r>
        <w:rPr>
          <w:rFonts w:hint="eastAsia" w:ascii="黑体" w:hAnsi="黑体" w:eastAsia="黑体" w:cs="Times New Roman"/>
          <w:sz w:val="44"/>
          <w:szCs w:val="44"/>
        </w:rPr>
        <w:t xml:space="preserve"> </w:t>
      </w:r>
    </w:p>
    <w:p>
      <w:pPr>
        <w:ind w:firstLine="602" w:firstLineChars="200"/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一、证明事项核查时间</w:t>
      </w:r>
    </w:p>
    <w:p>
      <w:pPr>
        <w:ind w:firstLine="602" w:firstLineChars="200"/>
        <w:jc w:val="left"/>
        <w:rPr>
          <w:rFonts w:hint="eastAsia" w:ascii="仿宋_GB2312" w:hAnsi="仿宋" w:eastAsia="仿宋_GB2312" w:cs="Times New Roman"/>
          <w:spacing w:val="-8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对实行告知承诺制的证明事项，审批部门自作出行政决定起3</w:t>
      </w:r>
      <w:r>
        <w:rPr>
          <w:rFonts w:hint="eastAsia" w:ascii="仿宋_GB2312" w:hAnsi="仿宋" w:eastAsia="仿宋_GB2312" w:cs="Times New Roman"/>
          <w:spacing w:val="-8"/>
          <w:sz w:val="32"/>
          <w:szCs w:val="32"/>
        </w:rPr>
        <w:t>个月内，根据相关工作规定组织对申请人承诺的有关情况进行核查。</w:t>
      </w:r>
    </w:p>
    <w:p>
      <w:pPr>
        <w:ind w:firstLine="602" w:firstLineChars="200"/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二、证明事项核查标准</w:t>
      </w:r>
    </w:p>
    <w:p>
      <w:pPr>
        <w:ind w:firstLine="452" w:firstLineChars="15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（一）申请人是否无不良信用记录或未曾作出虚假承诺。</w:t>
      </w:r>
    </w:p>
    <w:p>
      <w:pPr>
        <w:ind w:firstLine="452" w:firstLineChars="15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（二）申请人是否符合证明事项相关条件要求。</w:t>
      </w:r>
    </w:p>
    <w:p>
      <w:pPr>
        <w:ind w:firstLine="452" w:firstLineChars="15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（三）其他依法应当核查的内容。</w:t>
      </w:r>
    </w:p>
    <w:p>
      <w:pPr>
        <w:ind w:firstLine="602" w:firstLineChars="200"/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三、证明事项核查方式</w:t>
      </w:r>
    </w:p>
    <w:p>
      <w:pPr>
        <w:ind w:firstLine="452" w:firstLineChars="15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（一）线上核查。通过在线政务服务平台、数据共享交换平台等方式对申请人的承诺内容进行核查。</w:t>
      </w:r>
    </w:p>
    <w:p>
      <w:pPr>
        <w:ind w:firstLine="452" w:firstLineChars="15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（二）线下核查。对于线上无法核查的证明事项，审批部门将通过内部核查、部门间行政协助等方式对申请人的承诺内容进行核查。对确需进行现场检查的，注意优化工作程序、加强业务协同，避免检查扰民。</w:t>
      </w:r>
    </w:p>
    <w:p>
      <w:pPr>
        <w:ind w:firstLine="452" w:firstLineChars="150"/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四、核查结果处置</w:t>
      </w:r>
    </w:p>
    <w:p>
      <w:pPr>
        <w:ind w:firstLine="452" w:firstLineChars="150"/>
        <w:jc w:val="left"/>
      </w:pPr>
      <w:r>
        <w:rPr>
          <w:rFonts w:hint="eastAsia" w:ascii="仿宋_GB2312" w:hAnsi="仿宋" w:eastAsia="仿宋_GB2312" w:cs="Times New Roman"/>
          <w:sz w:val="32"/>
          <w:szCs w:val="32"/>
        </w:rPr>
        <w:t>行政机关发现申请人提供虚假承诺办理相关事项的，依法依规不予办理、责令限期整改、撤销行政决定，符合法定行政处罚情形的给予行政处罚；将申请人纳入失信人名单，记入申请人诚信档案，对该申请人办理相关事项不再适用于证明事项告知承诺制。</w:t>
      </w:r>
      <w:bookmarkStart w:id="0" w:name="_GoBack"/>
      <w:bookmarkEnd w:id="0"/>
    </w:p>
    <w:sectPr>
      <w:pgSz w:w="11906" w:h="16838"/>
      <w:pgMar w:top="2098" w:right="1644" w:bottom="1701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AndChars" w:linePitch="579" w:charSpace="-40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Noto Sans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Noto Sans CJK SC"/>
    <w:panose1 w:val="02010609060101010101"/>
    <w:charset w:val="00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BBC715"/>
    <w:rsid w:val="FEBBC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2021-02-26T09:49:00Z</dcterms:created>
  <dc:creator>linxiangwen</dc:creator>
  <cp:lastModifiedBy>linxiangwen</cp:lastModifiedBy>
  <dcterms:modified xsi:type="dcterms:W3CDTF">2021-02-26T09:50:34Z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</Properties>
</file>