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579" w:lineRule="exact"/>
        <w:jc w:val="center"/>
        <w:textAlignment w:val="auto"/>
        <w:rPr>
          <w:rFonts w:hint="eastAsia" w:ascii="方正小标宋简体" w:hAnsi="方正小标宋简体" w:eastAsia="方正小标宋简体" w:cs="方正小标宋简体"/>
          <w:sz w:val="44"/>
          <w:szCs w:val="44"/>
        </w:rPr>
      </w:pPr>
      <w:bookmarkStart w:id="0" w:name="_GoBack"/>
      <w:r>
        <w:rPr>
          <w:rFonts w:hint="eastAsia" w:ascii="方正小标宋简体" w:hAnsi="方正小标宋简体" w:eastAsia="方正小标宋简体" w:cs="方正小标宋简体"/>
          <w:sz w:val="44"/>
          <w:szCs w:val="44"/>
        </w:rPr>
        <w:t>关于填报2020年度－2022年度公益性社会</w:t>
      </w:r>
    </w:p>
    <w:p>
      <w:pPr>
        <w:keepNext w:val="0"/>
        <w:keepLines w:val="0"/>
        <w:pageBreakBefore w:val="0"/>
        <w:widowControl w:val="0"/>
        <w:kinsoku/>
        <w:wordWrap/>
        <w:overflowPunct/>
        <w:topLinePunct w:val="0"/>
        <w:autoSpaceDE/>
        <w:autoSpaceDN/>
        <w:bidi w:val="0"/>
        <w:adjustRightInd w:val="0"/>
        <w:snapToGrid w:val="0"/>
        <w:spacing w:line="579"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组织捐赠税前扣除资格相关材料的通知</w:t>
      </w:r>
    </w:p>
    <w:bookmarkEnd w:id="0"/>
    <w:p>
      <w:pPr>
        <w:keepNext w:val="0"/>
        <w:keepLines w:val="0"/>
        <w:pageBreakBefore w:val="0"/>
        <w:widowControl w:val="0"/>
        <w:kinsoku/>
        <w:wordWrap/>
        <w:overflowPunct/>
        <w:topLinePunct w:val="0"/>
        <w:autoSpaceDE/>
        <w:autoSpaceDN/>
        <w:bidi w:val="0"/>
        <w:adjustRightInd w:val="0"/>
        <w:snapToGrid w:val="0"/>
        <w:spacing w:line="579" w:lineRule="exact"/>
        <w:textAlignment w:val="auto"/>
        <w:rPr>
          <w:rFonts w:hint="eastAsia" w:ascii="Times New Roman" w:hAnsi="Times New Roman" w:eastAsia="仿宋_GB2312"/>
          <w:sz w:val="32"/>
        </w:rPr>
      </w:pPr>
    </w:p>
    <w:p>
      <w:pPr>
        <w:keepNext w:val="0"/>
        <w:keepLines w:val="0"/>
        <w:pageBreakBefore w:val="0"/>
        <w:widowControl w:val="0"/>
        <w:kinsoku/>
        <w:wordWrap/>
        <w:overflowPunct/>
        <w:topLinePunct w:val="0"/>
        <w:autoSpaceDE/>
        <w:autoSpaceDN/>
        <w:bidi w:val="0"/>
        <w:adjustRightInd w:val="0"/>
        <w:snapToGrid w:val="0"/>
        <w:spacing w:line="579" w:lineRule="exact"/>
        <w:textAlignment w:val="auto"/>
        <w:rPr>
          <w:rFonts w:hint="eastAsia" w:ascii="Times New Roman" w:hAnsi="Times New Roman" w:eastAsia="仿宋_GB2312"/>
          <w:sz w:val="32"/>
        </w:rPr>
      </w:pPr>
      <w:r>
        <w:rPr>
          <w:rFonts w:hint="eastAsia" w:ascii="Times New Roman" w:hAnsi="Times New Roman" w:eastAsia="仿宋_GB2312"/>
          <w:sz w:val="32"/>
        </w:rPr>
        <w:t>各设区市民政局，平潭综合实验区社会事业局，各省级社会组织：</w:t>
      </w:r>
    </w:p>
    <w:p>
      <w:pPr>
        <w:keepNext w:val="0"/>
        <w:keepLines w:val="0"/>
        <w:pageBreakBefore w:val="0"/>
        <w:widowControl w:val="0"/>
        <w:kinsoku/>
        <w:wordWrap/>
        <w:overflowPunct/>
        <w:topLinePunct w:val="0"/>
        <w:autoSpaceDE/>
        <w:autoSpaceDN/>
        <w:bidi w:val="0"/>
        <w:adjustRightInd w:val="0"/>
        <w:snapToGrid w:val="0"/>
        <w:spacing w:line="579" w:lineRule="exact"/>
        <w:textAlignment w:val="auto"/>
        <w:rPr>
          <w:rFonts w:hint="eastAsia" w:ascii="Times New Roman" w:hAnsi="Times New Roman" w:eastAsia="仿宋_GB2312"/>
          <w:sz w:val="32"/>
        </w:rPr>
      </w:pPr>
      <w:r>
        <w:rPr>
          <w:rFonts w:hint="eastAsia" w:ascii="Times New Roman" w:hAnsi="Times New Roman" w:eastAsia="仿宋_GB2312"/>
          <w:sz w:val="32"/>
        </w:rPr>
        <w:t>　　根据《中华人民共和国企业所得税法》及《中华人民共和国企业所得税法实施条例》有关规定，按照《福建省财政厅国家税务总局福建省税务局福建省民政厅关于公益性捐赠税前扣除有关事项的通知》（闽财税〔2020〕19号）和《关于公益性捐赠税前扣除资格确认有关衔接事项的公告》（财政部税务总局民政部公告2021年第3号）有关要求，现将填报2020年度－2022年度公益性社会组织捐赠税前扣除资格材料的有关事项通知如下：</w:t>
      </w:r>
    </w:p>
    <w:p>
      <w:pPr>
        <w:keepNext w:val="0"/>
        <w:keepLines w:val="0"/>
        <w:pageBreakBefore w:val="0"/>
        <w:widowControl w:val="0"/>
        <w:kinsoku/>
        <w:wordWrap/>
        <w:overflowPunct/>
        <w:topLinePunct w:val="0"/>
        <w:autoSpaceDE/>
        <w:autoSpaceDN/>
        <w:bidi w:val="0"/>
        <w:adjustRightInd w:val="0"/>
        <w:snapToGrid w:val="0"/>
        <w:spacing w:line="579" w:lineRule="exact"/>
        <w:textAlignment w:val="auto"/>
        <w:rPr>
          <w:rFonts w:hint="eastAsia" w:ascii="Times New Roman" w:hAnsi="Times New Roman" w:eastAsia="仿宋_GB2312"/>
          <w:sz w:val="32"/>
        </w:rPr>
      </w:pPr>
      <w:r>
        <w:rPr>
          <w:rFonts w:hint="eastAsia" w:ascii="Times New Roman" w:hAnsi="Times New Roman" w:eastAsia="仿宋_GB2312"/>
          <w:sz w:val="32"/>
        </w:rPr>
        <w:t>　　</w:t>
      </w:r>
      <w:r>
        <w:rPr>
          <w:rFonts w:hint="eastAsia" w:ascii="黑体" w:hAnsi="黑体" w:eastAsia="黑体" w:cs="黑体"/>
          <w:sz w:val="32"/>
        </w:rPr>
        <w:t>一、填报对象</w:t>
      </w:r>
    </w:p>
    <w:p>
      <w:pPr>
        <w:keepNext w:val="0"/>
        <w:keepLines w:val="0"/>
        <w:pageBreakBefore w:val="0"/>
        <w:widowControl w:val="0"/>
        <w:kinsoku/>
        <w:wordWrap/>
        <w:overflowPunct/>
        <w:topLinePunct w:val="0"/>
        <w:autoSpaceDE/>
        <w:autoSpaceDN/>
        <w:bidi w:val="0"/>
        <w:adjustRightInd w:val="0"/>
        <w:snapToGrid w:val="0"/>
        <w:spacing w:line="579" w:lineRule="exact"/>
        <w:textAlignment w:val="auto"/>
        <w:rPr>
          <w:rFonts w:hint="eastAsia" w:ascii="Times New Roman" w:hAnsi="Times New Roman" w:eastAsia="仿宋_GB2312"/>
          <w:sz w:val="32"/>
        </w:rPr>
      </w:pPr>
      <w:r>
        <w:rPr>
          <w:rFonts w:hint="eastAsia" w:ascii="Times New Roman" w:hAnsi="Times New Roman" w:eastAsia="仿宋_GB2312"/>
          <w:sz w:val="32"/>
        </w:rPr>
        <w:t>　　在全省各级民政部门依法登记的慈善组织和其他社会组织（以下统称社会组织），并应当符合《福建省财政厅国家税务总局福建省税务局福建省民政厅关于公益性捐赠税前扣除有关事项的通知》第四条之规定。</w:t>
      </w:r>
    </w:p>
    <w:p>
      <w:pPr>
        <w:keepNext w:val="0"/>
        <w:keepLines w:val="0"/>
        <w:pageBreakBefore w:val="0"/>
        <w:widowControl w:val="0"/>
        <w:kinsoku/>
        <w:wordWrap/>
        <w:overflowPunct/>
        <w:topLinePunct w:val="0"/>
        <w:autoSpaceDE/>
        <w:autoSpaceDN/>
        <w:bidi w:val="0"/>
        <w:adjustRightInd w:val="0"/>
        <w:snapToGrid w:val="0"/>
        <w:spacing w:line="579" w:lineRule="exact"/>
        <w:textAlignment w:val="auto"/>
        <w:rPr>
          <w:rFonts w:hint="eastAsia" w:ascii="Times New Roman" w:hAnsi="Times New Roman" w:eastAsia="仿宋_GB2312"/>
          <w:sz w:val="32"/>
        </w:rPr>
      </w:pPr>
      <w:r>
        <w:rPr>
          <w:rFonts w:hint="eastAsia" w:ascii="Times New Roman" w:hAnsi="Times New Roman" w:eastAsia="仿宋_GB2312"/>
          <w:sz w:val="32"/>
        </w:rPr>
        <w:t>　　</w:t>
      </w:r>
      <w:r>
        <w:rPr>
          <w:rFonts w:hint="eastAsia" w:ascii="黑体" w:hAnsi="黑体" w:eastAsia="黑体" w:cs="黑体"/>
          <w:sz w:val="32"/>
        </w:rPr>
        <w:t>二、报送方式和时间</w:t>
      </w:r>
    </w:p>
    <w:p>
      <w:pPr>
        <w:keepNext w:val="0"/>
        <w:keepLines w:val="0"/>
        <w:pageBreakBefore w:val="0"/>
        <w:widowControl w:val="0"/>
        <w:kinsoku/>
        <w:wordWrap/>
        <w:overflowPunct/>
        <w:topLinePunct w:val="0"/>
        <w:autoSpaceDE/>
        <w:autoSpaceDN/>
        <w:bidi w:val="0"/>
        <w:adjustRightInd w:val="0"/>
        <w:snapToGrid w:val="0"/>
        <w:spacing w:line="579" w:lineRule="exact"/>
        <w:textAlignment w:val="auto"/>
        <w:rPr>
          <w:rFonts w:hint="eastAsia" w:ascii="Times New Roman" w:hAnsi="Times New Roman" w:eastAsia="仿宋_GB2312"/>
          <w:sz w:val="32"/>
        </w:rPr>
      </w:pPr>
      <w:r>
        <w:rPr>
          <w:rFonts w:hint="eastAsia" w:ascii="Times New Roman" w:hAnsi="Times New Roman" w:eastAsia="仿宋_GB2312"/>
          <w:sz w:val="32"/>
        </w:rPr>
        <w:t>　　县级社会组织将《2020年度－2022年度社会组织公益性捐赠税前扣除资格确认填报表》（见附件1、2）报各县（市、区）民政局审核汇总，市级社会组织将《2020年度－2022年度社会组织公益性捐赠税前扣除资格确认填报表》（见附件1、2）报各设区市各设区市民政局、平潭综合实验区社会事业局审核汇总，省级社会组织将《2020年度－2022年度社会组织公益性捐赠税前扣除资格确认填报表》（见附件1、2）报省民政厅慈善事业促进处审核汇总。各设区市民政局、平潭综合实验区社会事业局将所辖县（市、区）及本级的公益性捐赠税前扣除资格社会组织建议名单进行审核汇总并加盖公章后报省民政厅。省民政厅审核汇总省本级及各地公益性捐赠税前扣除资格社会组织建议名单并提出初步意见后报省财政厅。</w:t>
      </w:r>
    </w:p>
    <w:p>
      <w:pPr>
        <w:keepNext w:val="0"/>
        <w:keepLines w:val="0"/>
        <w:pageBreakBefore w:val="0"/>
        <w:widowControl w:val="0"/>
        <w:kinsoku/>
        <w:wordWrap/>
        <w:overflowPunct/>
        <w:topLinePunct w:val="0"/>
        <w:autoSpaceDE/>
        <w:autoSpaceDN/>
        <w:bidi w:val="0"/>
        <w:adjustRightInd w:val="0"/>
        <w:snapToGrid w:val="0"/>
        <w:spacing w:line="579" w:lineRule="exact"/>
        <w:textAlignment w:val="auto"/>
        <w:rPr>
          <w:rFonts w:hint="eastAsia" w:ascii="Times New Roman" w:hAnsi="Times New Roman" w:eastAsia="仿宋_GB2312"/>
          <w:sz w:val="32"/>
        </w:rPr>
      </w:pPr>
      <w:r>
        <w:rPr>
          <w:rFonts w:hint="eastAsia" w:ascii="Times New Roman" w:hAnsi="Times New Roman" w:eastAsia="仿宋_GB2312"/>
          <w:sz w:val="32"/>
        </w:rPr>
        <w:t>　　省民政厅接收各设区市民政局、平潭综合实验区社会事业局材料报送时间截止日期为2021年4月15日。</w:t>
      </w:r>
    </w:p>
    <w:p>
      <w:pPr>
        <w:keepNext w:val="0"/>
        <w:keepLines w:val="0"/>
        <w:pageBreakBefore w:val="0"/>
        <w:widowControl w:val="0"/>
        <w:kinsoku/>
        <w:wordWrap/>
        <w:overflowPunct/>
        <w:topLinePunct w:val="0"/>
        <w:autoSpaceDE/>
        <w:autoSpaceDN/>
        <w:bidi w:val="0"/>
        <w:adjustRightInd w:val="0"/>
        <w:snapToGrid w:val="0"/>
        <w:spacing w:line="579" w:lineRule="exact"/>
        <w:textAlignment w:val="auto"/>
        <w:rPr>
          <w:rFonts w:hint="eastAsia" w:ascii="Times New Roman" w:hAnsi="Times New Roman" w:eastAsia="仿宋_GB2312"/>
          <w:sz w:val="32"/>
        </w:rPr>
      </w:pPr>
      <w:r>
        <w:rPr>
          <w:rFonts w:hint="eastAsia" w:ascii="Times New Roman" w:hAnsi="Times New Roman" w:eastAsia="仿宋_GB2312"/>
          <w:sz w:val="32"/>
        </w:rPr>
        <w:t>　　</w:t>
      </w:r>
      <w:r>
        <w:rPr>
          <w:rFonts w:hint="eastAsia" w:ascii="黑体" w:hAnsi="黑体" w:eastAsia="黑体" w:cs="黑体"/>
          <w:sz w:val="32"/>
        </w:rPr>
        <w:t>三、注意事项</w:t>
      </w:r>
    </w:p>
    <w:p>
      <w:pPr>
        <w:keepNext w:val="0"/>
        <w:keepLines w:val="0"/>
        <w:pageBreakBefore w:val="0"/>
        <w:widowControl w:val="0"/>
        <w:kinsoku/>
        <w:wordWrap/>
        <w:overflowPunct/>
        <w:topLinePunct w:val="0"/>
        <w:autoSpaceDE/>
        <w:autoSpaceDN/>
        <w:bidi w:val="0"/>
        <w:adjustRightInd w:val="0"/>
        <w:snapToGrid w:val="0"/>
        <w:spacing w:line="579" w:lineRule="exact"/>
        <w:textAlignment w:val="auto"/>
        <w:rPr>
          <w:rFonts w:hint="eastAsia" w:ascii="Times New Roman" w:hAnsi="Times New Roman" w:eastAsia="仿宋_GB2312"/>
          <w:sz w:val="32"/>
        </w:rPr>
      </w:pPr>
      <w:r>
        <w:rPr>
          <w:rFonts w:hint="eastAsia" w:ascii="Times New Roman" w:hAnsi="Times New Roman" w:eastAsia="仿宋_GB2312"/>
          <w:sz w:val="32"/>
        </w:rPr>
        <w:t>　　1.社会组织2018年和2019年的公益慈善事业支出和管理费用比例，可按照《民政部财政部国家税务总局关于印发&lt;关于慈善组织开展慈善活动年度支出和管理费用的规定&gt;的通知》（民发〔2016〕189号）有关规定执行。</w:t>
      </w:r>
    </w:p>
    <w:p>
      <w:pPr>
        <w:keepNext w:val="0"/>
        <w:keepLines w:val="0"/>
        <w:pageBreakBefore w:val="0"/>
        <w:widowControl w:val="0"/>
        <w:kinsoku/>
        <w:wordWrap/>
        <w:overflowPunct/>
        <w:topLinePunct w:val="0"/>
        <w:autoSpaceDE/>
        <w:autoSpaceDN/>
        <w:bidi w:val="0"/>
        <w:adjustRightInd w:val="0"/>
        <w:snapToGrid w:val="0"/>
        <w:spacing w:line="579" w:lineRule="exact"/>
        <w:textAlignment w:val="auto"/>
        <w:rPr>
          <w:rFonts w:hint="eastAsia" w:ascii="Times New Roman" w:hAnsi="Times New Roman" w:eastAsia="仿宋_GB2312"/>
          <w:sz w:val="32"/>
        </w:rPr>
      </w:pPr>
      <w:r>
        <w:rPr>
          <w:rFonts w:hint="eastAsia" w:ascii="Times New Roman" w:hAnsi="Times New Roman" w:eastAsia="仿宋_GB2312"/>
          <w:sz w:val="32"/>
        </w:rPr>
        <w:t>　　2.社会组织2018年至2021年2月4日最近一期的评估等级达到3A以上（含3A）。对于2019年成立的社会组织，以及2019年至2021年2月4日已接受评估但尚未出具结论的社会组织，确认资格时可暂不考虑其评估等级。</w:t>
      </w:r>
    </w:p>
    <w:p>
      <w:pPr>
        <w:keepNext w:val="0"/>
        <w:keepLines w:val="0"/>
        <w:pageBreakBefore w:val="0"/>
        <w:widowControl w:val="0"/>
        <w:kinsoku/>
        <w:wordWrap/>
        <w:overflowPunct/>
        <w:topLinePunct w:val="0"/>
        <w:autoSpaceDE/>
        <w:autoSpaceDN/>
        <w:bidi w:val="0"/>
        <w:adjustRightInd w:val="0"/>
        <w:snapToGrid w:val="0"/>
        <w:spacing w:line="579" w:lineRule="exact"/>
        <w:textAlignment w:val="auto"/>
        <w:rPr>
          <w:rFonts w:hint="eastAsia" w:ascii="Times New Roman" w:hAnsi="Times New Roman" w:eastAsia="仿宋_GB2312"/>
          <w:sz w:val="32"/>
        </w:rPr>
      </w:pPr>
      <w:r>
        <w:rPr>
          <w:rFonts w:hint="eastAsia" w:ascii="Times New Roman" w:hAnsi="Times New Roman" w:eastAsia="仿宋_GB2312"/>
          <w:sz w:val="32"/>
        </w:rPr>
        <w:t>　　3.确认公益性捐赠税前扣除资格时，可暂不考虑社会组织的非营利组织免税资格。</w:t>
      </w:r>
    </w:p>
    <w:p>
      <w:pPr>
        <w:keepNext w:val="0"/>
        <w:keepLines w:val="0"/>
        <w:pageBreakBefore w:val="0"/>
        <w:widowControl w:val="0"/>
        <w:kinsoku/>
        <w:wordWrap/>
        <w:overflowPunct/>
        <w:topLinePunct w:val="0"/>
        <w:autoSpaceDE/>
        <w:autoSpaceDN/>
        <w:bidi w:val="0"/>
        <w:adjustRightInd w:val="0"/>
        <w:snapToGrid w:val="0"/>
        <w:spacing w:line="579" w:lineRule="exact"/>
        <w:textAlignment w:val="auto"/>
        <w:rPr>
          <w:rFonts w:hint="eastAsia" w:ascii="Times New Roman" w:hAnsi="Times New Roman" w:eastAsia="仿宋_GB2312"/>
          <w:sz w:val="32"/>
        </w:rPr>
      </w:pPr>
      <w:r>
        <w:rPr>
          <w:rFonts w:hint="eastAsia" w:ascii="Times New Roman" w:hAnsi="Times New Roman" w:eastAsia="仿宋_GB2312"/>
          <w:sz w:val="32"/>
        </w:rPr>
        <w:t>　　4.按照以上3条取得公益性捐赠税前扣除资格的，在资格有效期内，应取得3A以上（含3A）评估等级，且取得非营利组织免税资格。</w:t>
      </w:r>
    </w:p>
    <w:p>
      <w:pPr>
        <w:keepNext w:val="0"/>
        <w:keepLines w:val="0"/>
        <w:pageBreakBefore w:val="0"/>
        <w:widowControl w:val="0"/>
        <w:kinsoku/>
        <w:wordWrap/>
        <w:overflowPunct/>
        <w:topLinePunct w:val="0"/>
        <w:autoSpaceDE/>
        <w:autoSpaceDN/>
        <w:bidi w:val="0"/>
        <w:adjustRightInd w:val="0"/>
        <w:snapToGrid w:val="0"/>
        <w:spacing w:line="579" w:lineRule="exact"/>
        <w:textAlignment w:val="auto"/>
        <w:rPr>
          <w:rFonts w:hint="eastAsia" w:ascii="Times New Roman" w:hAnsi="Times New Roman" w:eastAsia="仿宋_GB2312"/>
          <w:sz w:val="32"/>
        </w:rPr>
      </w:pPr>
      <w:r>
        <w:rPr>
          <w:rFonts w:hint="eastAsia" w:ascii="Times New Roman" w:hAnsi="Times New Roman" w:eastAsia="仿宋_GB2312"/>
          <w:sz w:val="32"/>
        </w:rPr>
        <w:t>　　5.联系人：江泽，联系电话0591－87523570，手机13313789582；陈强，联系电话0591－87559637，手机13705975963；传真0591－87661353。邮寄地址：福州市鼓东路44号706室慈善事业促进处。</w:t>
      </w:r>
    </w:p>
    <w:p>
      <w:pPr>
        <w:keepNext w:val="0"/>
        <w:keepLines w:val="0"/>
        <w:pageBreakBefore w:val="0"/>
        <w:widowControl w:val="0"/>
        <w:kinsoku/>
        <w:wordWrap/>
        <w:overflowPunct/>
        <w:topLinePunct w:val="0"/>
        <w:autoSpaceDE/>
        <w:autoSpaceDN/>
        <w:bidi w:val="0"/>
        <w:adjustRightInd w:val="0"/>
        <w:snapToGrid w:val="0"/>
        <w:spacing w:line="579" w:lineRule="exact"/>
        <w:ind w:left="1896" w:hanging="1896" w:hangingChars="600"/>
        <w:textAlignment w:val="auto"/>
        <w:rPr>
          <w:rFonts w:hint="eastAsia" w:ascii="Times New Roman" w:hAnsi="Times New Roman" w:eastAsia="仿宋_GB2312"/>
          <w:sz w:val="32"/>
        </w:rPr>
      </w:pPr>
      <w:r>
        <w:rPr>
          <w:rFonts w:hint="eastAsia" w:ascii="Times New Roman" w:hAnsi="Times New Roman" w:eastAsia="仿宋_GB2312"/>
          <w:sz w:val="32"/>
        </w:rPr>
        <w:t>　　附件1：《2020年度－2022年度不具有公开募捐资格社会组</w:t>
      </w:r>
      <w:r>
        <w:rPr>
          <w:rFonts w:hint="eastAsia" w:ascii="Times New Roman" w:hAnsi="Times New Roman" w:eastAsia="仿宋_GB2312"/>
          <w:sz w:val="32"/>
        </w:rPr>
        <w:br w:type="textWrapping"/>
      </w:r>
      <w:r>
        <w:rPr>
          <w:rFonts w:hint="eastAsia" w:ascii="Times New Roman" w:hAnsi="Times New Roman" w:eastAsia="仿宋_GB2312"/>
          <w:sz w:val="32"/>
        </w:rPr>
        <w:t>织公益性捐赠税前扣除资格确认填报表》</w:t>
      </w:r>
    </w:p>
    <w:p>
      <w:pPr>
        <w:keepNext w:val="0"/>
        <w:keepLines w:val="0"/>
        <w:pageBreakBefore w:val="0"/>
        <w:widowControl w:val="0"/>
        <w:kinsoku/>
        <w:wordWrap/>
        <w:overflowPunct/>
        <w:topLinePunct w:val="0"/>
        <w:autoSpaceDE/>
        <w:autoSpaceDN/>
        <w:bidi w:val="0"/>
        <w:adjustRightInd w:val="0"/>
        <w:snapToGrid w:val="0"/>
        <w:spacing w:line="579" w:lineRule="exact"/>
        <w:ind w:left="1896" w:hanging="1896" w:hangingChars="600"/>
        <w:textAlignment w:val="auto"/>
        <w:rPr>
          <w:rFonts w:hint="eastAsia" w:ascii="Times New Roman" w:hAnsi="Times New Roman" w:eastAsia="仿宋_GB2312"/>
          <w:sz w:val="32"/>
        </w:rPr>
      </w:pPr>
      <w:r>
        <w:rPr>
          <w:rFonts w:hint="eastAsia" w:ascii="Times New Roman" w:hAnsi="Times New Roman" w:eastAsia="仿宋_GB2312"/>
          <w:sz w:val="32"/>
        </w:rPr>
        <w:t>　　附件2：《2020年度－2022年度具有公开募捐资格社会组织</w:t>
      </w:r>
      <w:r>
        <w:rPr>
          <w:rFonts w:hint="eastAsia" w:ascii="Times New Roman" w:hAnsi="Times New Roman" w:eastAsia="仿宋_GB2312"/>
          <w:sz w:val="32"/>
        </w:rPr>
        <w:br w:type="textWrapping"/>
      </w:r>
      <w:r>
        <w:rPr>
          <w:rFonts w:hint="eastAsia" w:ascii="Times New Roman" w:hAnsi="Times New Roman" w:eastAsia="仿宋_GB2312"/>
          <w:sz w:val="32"/>
        </w:rPr>
        <w:t>公益性捐赠税前扣除资格确认填报表》</w:t>
      </w:r>
    </w:p>
    <w:p>
      <w:pPr>
        <w:keepNext w:val="0"/>
        <w:keepLines w:val="0"/>
        <w:pageBreakBefore w:val="0"/>
        <w:widowControl w:val="0"/>
        <w:kinsoku/>
        <w:wordWrap/>
        <w:overflowPunct/>
        <w:topLinePunct w:val="0"/>
        <w:autoSpaceDE/>
        <w:autoSpaceDN/>
        <w:bidi w:val="0"/>
        <w:adjustRightInd w:val="0"/>
        <w:snapToGrid w:val="0"/>
        <w:spacing w:line="579" w:lineRule="exact"/>
        <w:textAlignment w:val="auto"/>
        <w:rPr>
          <w:rFonts w:hint="eastAsia" w:ascii="Times New Roman" w:hAnsi="Times New Roman" w:eastAsia="仿宋_GB2312"/>
          <w:sz w:val="32"/>
        </w:rPr>
      </w:pPr>
    </w:p>
    <w:p>
      <w:pPr>
        <w:keepNext w:val="0"/>
        <w:keepLines w:val="0"/>
        <w:pageBreakBefore w:val="0"/>
        <w:widowControl w:val="0"/>
        <w:kinsoku/>
        <w:wordWrap/>
        <w:overflowPunct/>
        <w:topLinePunct w:val="0"/>
        <w:autoSpaceDE/>
        <w:autoSpaceDN/>
        <w:bidi w:val="0"/>
        <w:adjustRightInd w:val="0"/>
        <w:snapToGrid w:val="0"/>
        <w:spacing w:line="579" w:lineRule="exact"/>
        <w:textAlignment w:val="auto"/>
        <w:rPr>
          <w:rFonts w:hint="eastAsia" w:ascii="Times New Roman" w:hAnsi="Times New Roman" w:eastAsia="仿宋_GB2312"/>
          <w:sz w:val="32"/>
        </w:rPr>
      </w:pPr>
    </w:p>
    <w:p>
      <w:pPr>
        <w:keepNext w:val="0"/>
        <w:keepLines w:val="0"/>
        <w:pageBreakBefore w:val="0"/>
        <w:widowControl w:val="0"/>
        <w:kinsoku/>
        <w:wordWrap/>
        <w:overflowPunct/>
        <w:topLinePunct w:val="0"/>
        <w:autoSpaceDE/>
        <w:autoSpaceDN/>
        <w:bidi w:val="0"/>
        <w:adjustRightInd w:val="0"/>
        <w:snapToGrid w:val="0"/>
        <w:spacing w:line="579" w:lineRule="exact"/>
        <w:ind w:firstLine="6004" w:firstLineChars="1900"/>
        <w:textAlignment w:val="auto"/>
        <w:rPr>
          <w:rFonts w:hint="eastAsia" w:ascii="Times New Roman" w:hAnsi="Times New Roman" w:eastAsia="仿宋_GB2312"/>
          <w:sz w:val="32"/>
        </w:rPr>
      </w:pPr>
      <w:r>
        <w:rPr>
          <w:rFonts w:hint="eastAsia" w:ascii="Times New Roman" w:hAnsi="Times New Roman" w:eastAsia="仿宋_GB2312"/>
          <w:sz w:val="32"/>
        </w:rPr>
        <w:t>福建省民政厅</w:t>
      </w:r>
    </w:p>
    <w:p>
      <w:pPr>
        <w:keepNext w:val="0"/>
        <w:keepLines w:val="0"/>
        <w:pageBreakBefore w:val="0"/>
        <w:widowControl w:val="0"/>
        <w:kinsoku/>
        <w:wordWrap/>
        <w:overflowPunct/>
        <w:topLinePunct w:val="0"/>
        <w:autoSpaceDE/>
        <w:autoSpaceDN/>
        <w:bidi w:val="0"/>
        <w:adjustRightInd w:val="0"/>
        <w:snapToGrid w:val="0"/>
        <w:spacing w:line="579" w:lineRule="exact"/>
        <w:textAlignment w:val="auto"/>
        <w:rPr>
          <w:rFonts w:hint="eastAsia" w:ascii="Times New Roman" w:hAnsi="Times New Roman" w:eastAsia="仿宋_GB2312"/>
          <w:sz w:val="32"/>
        </w:rPr>
      </w:pPr>
      <w:r>
        <w:rPr>
          <w:rFonts w:hint="eastAsia" w:ascii="Times New Roman" w:hAnsi="Times New Roman" w:eastAsia="仿宋_GB2312"/>
          <w:sz w:val="32"/>
        </w:rPr>
        <w:t>　　</w:t>
      </w:r>
      <w:r>
        <w:rPr>
          <w:rFonts w:hint="eastAsia" w:ascii="Times New Roman" w:hAnsi="Times New Roman" w:eastAsia="仿宋_GB2312"/>
          <w:sz w:val="32"/>
          <w:lang w:val="en-US" w:eastAsia="zh-CN"/>
        </w:rPr>
        <w:t xml:space="preserve">                                </w:t>
      </w:r>
      <w:r>
        <w:rPr>
          <w:rFonts w:hint="eastAsia" w:ascii="Times New Roman" w:hAnsi="Times New Roman" w:eastAsia="仿宋_GB2312"/>
          <w:sz w:val="32"/>
        </w:rPr>
        <w:t>2021年2月23日</w:t>
      </w:r>
    </w:p>
    <w:p>
      <w:pPr>
        <w:keepNext w:val="0"/>
        <w:keepLines w:val="0"/>
        <w:pageBreakBefore w:val="0"/>
        <w:widowControl w:val="0"/>
        <w:kinsoku/>
        <w:wordWrap/>
        <w:overflowPunct/>
        <w:topLinePunct w:val="0"/>
        <w:autoSpaceDE/>
        <w:autoSpaceDN/>
        <w:bidi w:val="0"/>
        <w:adjustRightInd w:val="0"/>
        <w:snapToGrid w:val="0"/>
        <w:spacing w:line="579" w:lineRule="exact"/>
        <w:textAlignment w:val="auto"/>
        <w:rPr>
          <w:rFonts w:ascii="Times New Roman" w:hAnsi="Times New Roman" w:eastAsia="仿宋_GB2312"/>
          <w:sz w:val="32"/>
        </w:rPr>
      </w:pPr>
    </w:p>
    <w:p>
      <w:pPr>
        <w:keepNext w:val="0"/>
        <w:keepLines w:val="0"/>
        <w:pageBreakBefore w:val="0"/>
        <w:widowControl w:val="0"/>
        <w:kinsoku/>
        <w:wordWrap/>
        <w:overflowPunct/>
        <w:topLinePunct w:val="0"/>
        <w:autoSpaceDE/>
        <w:autoSpaceDN/>
        <w:bidi w:val="0"/>
        <w:adjustRightInd w:val="0"/>
        <w:snapToGrid w:val="0"/>
        <w:spacing w:line="579" w:lineRule="exact"/>
        <w:textAlignment w:val="auto"/>
        <w:rPr>
          <w:rFonts w:ascii="Times New Roman" w:hAnsi="Times New Roman" w:eastAsia="仿宋_GB2312"/>
          <w:sz w:val="32"/>
        </w:rPr>
      </w:pPr>
    </w:p>
    <w:p>
      <w:pPr>
        <w:keepNext w:val="0"/>
        <w:keepLines w:val="0"/>
        <w:pageBreakBefore w:val="0"/>
        <w:widowControl w:val="0"/>
        <w:kinsoku/>
        <w:wordWrap/>
        <w:overflowPunct/>
        <w:topLinePunct w:val="0"/>
        <w:autoSpaceDE/>
        <w:autoSpaceDN/>
        <w:bidi w:val="0"/>
        <w:adjustRightInd w:val="0"/>
        <w:snapToGrid w:val="0"/>
        <w:spacing w:line="579" w:lineRule="exact"/>
        <w:textAlignment w:val="auto"/>
        <w:rPr>
          <w:rFonts w:ascii="Times New Roman" w:hAnsi="Times New Roman" w:eastAsia="仿宋_GB2312"/>
          <w:sz w:val="32"/>
        </w:rPr>
      </w:pPr>
    </w:p>
    <w:p>
      <w:pPr>
        <w:keepNext w:val="0"/>
        <w:keepLines w:val="0"/>
        <w:pageBreakBefore w:val="0"/>
        <w:widowControl w:val="0"/>
        <w:kinsoku/>
        <w:wordWrap/>
        <w:overflowPunct/>
        <w:topLinePunct w:val="0"/>
        <w:autoSpaceDE/>
        <w:autoSpaceDN/>
        <w:bidi w:val="0"/>
        <w:adjustRightInd w:val="0"/>
        <w:snapToGrid w:val="0"/>
        <w:spacing w:line="579" w:lineRule="exact"/>
        <w:textAlignment w:val="auto"/>
        <w:rPr>
          <w:rFonts w:ascii="Times New Roman" w:hAnsi="Times New Roman" w:eastAsia="仿宋_GB2312"/>
          <w:sz w:val="32"/>
        </w:rPr>
      </w:pPr>
    </w:p>
    <w:p>
      <w:pPr>
        <w:keepNext w:val="0"/>
        <w:keepLines w:val="0"/>
        <w:pageBreakBefore w:val="0"/>
        <w:widowControl w:val="0"/>
        <w:kinsoku/>
        <w:wordWrap/>
        <w:overflowPunct/>
        <w:topLinePunct w:val="0"/>
        <w:autoSpaceDE/>
        <w:autoSpaceDN/>
        <w:bidi w:val="0"/>
        <w:adjustRightInd w:val="0"/>
        <w:snapToGrid w:val="0"/>
        <w:spacing w:line="579" w:lineRule="exact"/>
        <w:textAlignment w:val="auto"/>
        <w:rPr>
          <w:rFonts w:ascii="Times New Roman" w:hAnsi="Times New Roman" w:eastAsia="仿宋_GB2312"/>
          <w:sz w:val="32"/>
        </w:rPr>
      </w:pPr>
    </w:p>
    <w:p>
      <w:pPr>
        <w:keepNext w:val="0"/>
        <w:keepLines w:val="0"/>
        <w:pageBreakBefore w:val="0"/>
        <w:widowControl w:val="0"/>
        <w:kinsoku/>
        <w:wordWrap/>
        <w:overflowPunct/>
        <w:topLinePunct w:val="0"/>
        <w:autoSpaceDE/>
        <w:autoSpaceDN/>
        <w:bidi w:val="0"/>
        <w:adjustRightInd w:val="0"/>
        <w:snapToGrid w:val="0"/>
        <w:spacing w:line="579" w:lineRule="exact"/>
        <w:textAlignment w:val="auto"/>
        <w:rPr>
          <w:rFonts w:ascii="Times New Roman" w:hAnsi="Times New Roman" w:eastAsia="仿宋_GB2312"/>
          <w:sz w:val="32"/>
        </w:rPr>
      </w:pPr>
    </w:p>
    <w:p>
      <w:pPr>
        <w:keepNext w:val="0"/>
        <w:keepLines w:val="0"/>
        <w:pageBreakBefore w:val="0"/>
        <w:widowControl w:val="0"/>
        <w:kinsoku/>
        <w:wordWrap/>
        <w:overflowPunct/>
        <w:topLinePunct w:val="0"/>
        <w:autoSpaceDE/>
        <w:autoSpaceDN/>
        <w:bidi w:val="0"/>
        <w:adjustRightInd w:val="0"/>
        <w:snapToGrid w:val="0"/>
        <w:spacing w:line="579" w:lineRule="exact"/>
        <w:textAlignment w:val="auto"/>
        <w:rPr>
          <w:rFonts w:ascii="Times New Roman" w:hAnsi="Times New Roman" w:eastAsia="仿宋_GB2312"/>
          <w:sz w:val="32"/>
        </w:rPr>
      </w:pPr>
    </w:p>
    <w:p>
      <w:pPr>
        <w:keepNext w:val="0"/>
        <w:keepLines w:val="0"/>
        <w:pageBreakBefore w:val="0"/>
        <w:widowControl w:val="0"/>
        <w:kinsoku/>
        <w:wordWrap/>
        <w:overflowPunct/>
        <w:topLinePunct w:val="0"/>
        <w:autoSpaceDE/>
        <w:autoSpaceDN/>
        <w:bidi w:val="0"/>
        <w:adjustRightInd w:val="0"/>
        <w:snapToGrid w:val="0"/>
        <w:spacing w:line="579" w:lineRule="exact"/>
        <w:textAlignment w:val="auto"/>
        <w:rPr>
          <w:rFonts w:ascii="Times New Roman" w:hAnsi="Times New Roman" w:eastAsia="仿宋_GB2312"/>
          <w:sz w:val="32"/>
        </w:rPr>
      </w:pPr>
    </w:p>
    <w:p>
      <w:pPr>
        <w:keepNext w:val="0"/>
        <w:keepLines w:val="0"/>
        <w:pageBreakBefore w:val="0"/>
        <w:widowControl w:val="0"/>
        <w:kinsoku/>
        <w:wordWrap/>
        <w:overflowPunct/>
        <w:topLinePunct w:val="0"/>
        <w:autoSpaceDE/>
        <w:autoSpaceDN/>
        <w:bidi w:val="0"/>
        <w:adjustRightInd w:val="0"/>
        <w:snapToGrid w:val="0"/>
        <w:spacing w:line="579" w:lineRule="exact"/>
        <w:textAlignment w:val="auto"/>
        <w:rPr>
          <w:rFonts w:ascii="Times New Roman" w:hAnsi="Times New Roman" w:eastAsia="仿宋_GB2312"/>
          <w:sz w:val="32"/>
        </w:rPr>
        <w:sectPr>
          <w:footerReference r:id="rId3" w:type="default"/>
          <w:footerReference r:id="rId4" w:type="even"/>
          <w:pgSz w:w="11906" w:h="16838"/>
          <w:pgMar w:top="2098" w:right="1474" w:bottom="1984" w:left="1587" w:header="851" w:footer="992" w:gutter="0"/>
          <w:pgNumType w:fmt="numberInDash"/>
          <w:cols w:space="0" w:num="1"/>
          <w:rtlGutter w:val="0"/>
          <w:docGrid w:type="linesAndChars" w:linePitch="579" w:charSpace="-842"/>
        </w:sectPr>
      </w:pPr>
    </w:p>
    <w:p>
      <w:pPr>
        <w:keepNext w:val="0"/>
        <w:keepLines w:val="0"/>
        <w:pageBreakBefore w:val="0"/>
        <w:widowControl w:val="0"/>
        <w:kinsoku/>
        <w:wordWrap/>
        <w:overflowPunct/>
        <w:topLinePunct w:val="0"/>
        <w:autoSpaceDE/>
        <w:autoSpaceDN/>
        <w:bidi w:val="0"/>
        <w:adjustRightInd w:val="0"/>
        <w:snapToGrid w:val="0"/>
        <w:spacing w:line="579" w:lineRule="exact"/>
        <w:textAlignment w:val="auto"/>
        <w:rPr>
          <w:rFonts w:hint="eastAsia" w:ascii="黑体" w:hAnsi="黑体" w:eastAsia="黑体" w:cs="黑体"/>
          <w:sz w:val="32"/>
          <w:lang w:val="en-US" w:eastAsia="zh-CN"/>
        </w:rPr>
      </w:pPr>
      <w:r>
        <w:rPr>
          <w:rFonts w:hint="eastAsia" w:ascii="黑体" w:hAnsi="黑体" w:eastAsia="黑体" w:cs="黑体"/>
          <w:sz w:val="32"/>
          <w:lang w:eastAsia="zh-CN"/>
        </w:rPr>
        <w:t>附件</w:t>
      </w:r>
      <w:r>
        <w:rPr>
          <w:rFonts w:hint="eastAsia" w:ascii="黑体" w:hAnsi="黑体" w:eastAsia="黑体" w:cs="黑体"/>
          <w:sz w:val="32"/>
          <w:lang w:val="en-US" w:eastAsia="zh-CN"/>
        </w:rPr>
        <w:t>1</w:t>
      </w:r>
    </w:p>
    <w:p>
      <w:pPr>
        <w:keepNext w:val="0"/>
        <w:keepLines w:val="0"/>
        <w:pageBreakBefore w:val="0"/>
        <w:widowControl w:val="0"/>
        <w:kinsoku/>
        <w:wordWrap/>
        <w:overflowPunct/>
        <w:topLinePunct w:val="0"/>
        <w:autoSpaceDE/>
        <w:autoSpaceDN/>
        <w:bidi w:val="0"/>
        <w:adjustRightInd w:val="0"/>
        <w:snapToGrid w:val="0"/>
        <w:spacing w:line="579" w:lineRule="exact"/>
        <w:textAlignment w:val="auto"/>
        <w:rPr>
          <w:rFonts w:hint="eastAsia" w:ascii="黑体" w:hAnsi="黑体" w:eastAsia="黑体" w:cs="黑体"/>
          <w:sz w:val="32"/>
          <w:lang w:val="en-US" w:eastAsia="zh-CN"/>
        </w:rPr>
      </w:pPr>
    </w:p>
    <w:p>
      <w:pPr>
        <w:keepNext w:val="0"/>
        <w:keepLines w:val="0"/>
        <w:pageBreakBefore w:val="0"/>
        <w:widowControl w:val="0"/>
        <w:kinsoku/>
        <w:wordWrap/>
        <w:overflowPunct/>
        <w:topLinePunct w:val="0"/>
        <w:autoSpaceDE/>
        <w:autoSpaceDN/>
        <w:bidi w:val="0"/>
        <w:adjustRightInd w:val="0"/>
        <w:snapToGrid w:val="0"/>
        <w:spacing w:line="579" w:lineRule="exact"/>
        <w:jc w:val="center"/>
        <w:textAlignment w:val="auto"/>
        <w:rPr>
          <w:rFonts w:hint="eastAsia" w:ascii="方正小标宋简体" w:hAnsi="方正小标宋简体" w:eastAsia="方正小标宋简体" w:cs="方正小标宋简体"/>
          <w:sz w:val="32"/>
          <w:szCs w:val="24"/>
          <w:lang w:val="en-US" w:eastAsia="zh-CN"/>
        </w:rPr>
      </w:pPr>
      <w:r>
        <w:rPr>
          <w:rFonts w:hint="eastAsia" w:ascii="方正小标宋简体" w:hAnsi="方正小标宋简体" w:eastAsia="方正小标宋简体" w:cs="方正小标宋简体"/>
          <w:sz w:val="32"/>
          <w:szCs w:val="24"/>
          <w:lang w:val="en-US" w:eastAsia="zh-CN"/>
        </w:rPr>
        <w:t>2020年度－2022年度不具有公开募捐资格社会组织公益性捐赠税前扣除资格确认填报表</w:t>
      </w:r>
    </w:p>
    <w:p>
      <w:pPr>
        <w:keepNext w:val="0"/>
        <w:keepLines w:val="0"/>
        <w:pageBreakBefore w:val="0"/>
        <w:widowControl w:val="0"/>
        <w:kinsoku/>
        <w:wordWrap/>
        <w:overflowPunct/>
        <w:topLinePunct w:val="0"/>
        <w:autoSpaceDE/>
        <w:autoSpaceDN/>
        <w:bidi w:val="0"/>
        <w:adjustRightInd w:val="0"/>
        <w:snapToGrid w:val="0"/>
        <w:spacing w:line="579" w:lineRule="exact"/>
        <w:textAlignment w:val="auto"/>
        <w:rPr>
          <w:rFonts w:hint="eastAsia" w:ascii="黑体" w:hAnsi="黑体" w:eastAsia="黑体" w:cs="黑体"/>
          <w:sz w:val="32"/>
          <w:lang w:val="en-US" w:eastAsia="zh-CN"/>
        </w:rPr>
      </w:pPr>
    </w:p>
    <w:tbl>
      <w:tblPr>
        <w:tblW w:w="4999" w:type="pct"/>
        <w:tblInd w:w="0" w:type="dxa"/>
        <w:shd w:val="clear"/>
        <w:tblLayout w:type="autofit"/>
        <w:tblCellMar>
          <w:top w:w="0" w:type="dxa"/>
          <w:left w:w="0" w:type="dxa"/>
          <w:bottom w:w="0" w:type="dxa"/>
          <w:right w:w="0" w:type="dxa"/>
        </w:tblCellMar>
      </w:tblPr>
      <w:tblGrid>
        <w:gridCol w:w="1675"/>
        <w:gridCol w:w="931"/>
        <w:gridCol w:w="856"/>
        <w:gridCol w:w="1012"/>
        <w:gridCol w:w="591"/>
        <w:gridCol w:w="662"/>
        <w:gridCol w:w="639"/>
        <w:gridCol w:w="593"/>
        <w:gridCol w:w="514"/>
        <w:gridCol w:w="997"/>
        <w:gridCol w:w="879"/>
        <w:gridCol w:w="1046"/>
        <w:gridCol w:w="905"/>
        <w:gridCol w:w="1483"/>
      </w:tblGrid>
      <w:tr>
        <w:tblPrEx>
          <w:shd w:val="clear"/>
          <w:tblCellMar>
            <w:top w:w="0" w:type="dxa"/>
            <w:left w:w="0" w:type="dxa"/>
            <w:bottom w:w="0" w:type="dxa"/>
            <w:right w:w="0" w:type="dxa"/>
          </w:tblCellMar>
        </w:tblPrEx>
        <w:trPr>
          <w:trHeight w:val="900" w:hRule="atLeast"/>
        </w:trPr>
        <w:tc>
          <w:tcPr>
            <w:tcW w:w="1354" w:type="pct"/>
            <w:gridSpan w:val="3"/>
            <w:tcBorders>
              <w:top w:val="nil"/>
              <w:left w:val="nil"/>
              <w:bottom w:val="nil"/>
              <w:right w:val="nil"/>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exact"/>
              <w:jc w:val="left"/>
              <w:textAlignment w:val="center"/>
              <w:rPr>
                <w:rFonts w:ascii="仿宋" w:hAnsi="仿宋" w:eastAsia="仿宋" w:cs="仿宋"/>
                <w:b/>
                <w:i w:val="0"/>
                <w:color w:val="000000"/>
                <w:sz w:val="24"/>
                <w:szCs w:val="24"/>
                <w:u w:val="none"/>
              </w:rPr>
            </w:pPr>
            <w:r>
              <w:rPr>
                <w:rFonts w:hint="eastAsia" w:ascii="仿宋" w:hAnsi="仿宋" w:eastAsia="仿宋" w:cs="仿宋"/>
                <w:b/>
                <w:i w:val="0"/>
                <w:color w:val="000000"/>
                <w:kern w:val="0"/>
                <w:sz w:val="24"/>
                <w:szCs w:val="24"/>
                <w:u w:val="none"/>
                <w:bdr w:val="none" w:color="auto" w:sz="0" w:space="0"/>
                <w:lang w:val="en-US" w:eastAsia="zh-CN" w:bidi="ar"/>
              </w:rPr>
              <w:t>填报单位盖章：</w:t>
            </w:r>
          </w:p>
        </w:tc>
        <w:tc>
          <w:tcPr>
            <w:tcW w:w="886" w:type="pct"/>
            <w:gridSpan w:val="3"/>
            <w:tcBorders>
              <w:top w:val="nil"/>
              <w:left w:val="nil"/>
              <w:bottom w:val="nil"/>
              <w:right w:val="nil"/>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left"/>
              <w:rPr>
                <w:rFonts w:hint="eastAsia" w:ascii="仿宋" w:hAnsi="仿宋" w:eastAsia="仿宋" w:cs="仿宋"/>
                <w:b/>
                <w:i w:val="0"/>
                <w:color w:val="000000"/>
                <w:sz w:val="24"/>
                <w:szCs w:val="24"/>
                <w:u w:val="none"/>
              </w:rPr>
            </w:pPr>
          </w:p>
        </w:tc>
        <w:tc>
          <w:tcPr>
            <w:tcW w:w="1417" w:type="pct"/>
            <w:gridSpan w:val="5"/>
            <w:tcBorders>
              <w:top w:val="nil"/>
              <w:left w:val="nil"/>
              <w:bottom w:val="nil"/>
              <w:right w:val="nil"/>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exact"/>
              <w:jc w:val="left"/>
              <w:textAlignment w:val="center"/>
              <w:rPr>
                <w:rFonts w:hint="eastAsia" w:ascii="仿宋" w:hAnsi="仿宋" w:eastAsia="仿宋" w:cs="仿宋"/>
                <w:b/>
                <w:i w:val="0"/>
                <w:color w:val="000000"/>
                <w:sz w:val="24"/>
                <w:szCs w:val="24"/>
                <w:u w:val="none"/>
              </w:rPr>
            </w:pPr>
            <w:r>
              <w:rPr>
                <w:rFonts w:hint="eastAsia" w:ascii="仿宋" w:hAnsi="仿宋" w:eastAsia="仿宋" w:cs="仿宋"/>
                <w:b/>
                <w:i w:val="0"/>
                <w:color w:val="000000"/>
                <w:kern w:val="0"/>
                <w:sz w:val="24"/>
                <w:szCs w:val="24"/>
                <w:u w:val="none"/>
                <w:bdr w:val="none" w:color="auto" w:sz="0" w:space="0"/>
                <w:lang w:val="en-US" w:eastAsia="zh-CN" w:bidi="ar"/>
              </w:rPr>
              <w:t>联系电话：</w:t>
            </w:r>
          </w:p>
        </w:tc>
        <w:tc>
          <w:tcPr>
            <w:tcW w:w="1341" w:type="pct"/>
            <w:gridSpan w:val="3"/>
            <w:tcBorders>
              <w:top w:val="nil"/>
              <w:left w:val="nil"/>
              <w:bottom w:val="nil"/>
              <w:right w:val="nil"/>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exact"/>
              <w:jc w:val="left"/>
              <w:textAlignment w:val="center"/>
              <w:rPr>
                <w:rFonts w:hint="eastAsia" w:ascii="仿宋" w:hAnsi="仿宋" w:eastAsia="仿宋" w:cs="仿宋"/>
                <w:b/>
                <w:i w:val="0"/>
                <w:color w:val="000000"/>
                <w:sz w:val="24"/>
                <w:szCs w:val="24"/>
                <w:u w:val="none"/>
              </w:rPr>
            </w:pPr>
            <w:r>
              <w:rPr>
                <w:rFonts w:hint="eastAsia" w:ascii="仿宋" w:hAnsi="仿宋" w:eastAsia="仿宋" w:cs="仿宋"/>
                <w:b/>
                <w:i w:val="0"/>
                <w:color w:val="000000"/>
                <w:kern w:val="0"/>
                <w:sz w:val="24"/>
                <w:szCs w:val="24"/>
                <w:u w:val="none"/>
                <w:bdr w:val="none" w:color="auto" w:sz="0" w:space="0"/>
                <w:lang w:val="en-US" w:eastAsia="zh-CN" w:bidi="ar"/>
              </w:rPr>
              <w:t>填报时间：</w:t>
            </w:r>
          </w:p>
        </w:tc>
      </w:tr>
      <w:tr>
        <w:tblPrEx>
          <w:tblCellMar>
            <w:top w:w="0" w:type="dxa"/>
            <w:left w:w="0" w:type="dxa"/>
            <w:bottom w:w="0" w:type="dxa"/>
            <w:right w:w="0" w:type="dxa"/>
          </w:tblCellMar>
        </w:tblPrEx>
        <w:trPr>
          <w:trHeight w:val="480" w:hRule="atLeast"/>
        </w:trPr>
        <w:tc>
          <w:tcPr>
            <w:tcW w:w="655" w:type="pct"/>
            <w:vMerge w:val="restar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bdr w:val="none" w:color="auto" w:sz="0" w:space="0"/>
                <w:lang w:val="en-US" w:eastAsia="zh-CN" w:bidi="ar"/>
              </w:rPr>
              <w:t>社会组织名称</w:t>
            </w:r>
          </w:p>
        </w:tc>
        <w:tc>
          <w:tcPr>
            <w:tcW w:w="364" w:type="pct"/>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bdr w:val="none" w:color="auto" w:sz="0" w:space="0"/>
                <w:lang w:val="en-US" w:eastAsia="zh-CN" w:bidi="ar"/>
              </w:rPr>
              <w:t>登记</w:t>
            </w:r>
            <w:r>
              <w:rPr>
                <w:rFonts w:hint="eastAsia" w:ascii="宋体" w:hAnsi="宋体" w:eastAsia="宋体" w:cs="宋体"/>
                <w:b/>
                <w:i w:val="0"/>
                <w:color w:val="000000"/>
                <w:kern w:val="0"/>
                <w:sz w:val="20"/>
                <w:szCs w:val="20"/>
                <w:u w:val="none"/>
                <w:bdr w:val="none" w:color="auto" w:sz="0" w:space="0"/>
                <w:lang w:val="en-US" w:eastAsia="zh-CN" w:bidi="ar"/>
              </w:rPr>
              <w:br w:type="textWrapping"/>
            </w:r>
            <w:r>
              <w:rPr>
                <w:rFonts w:hint="eastAsia" w:ascii="宋体" w:hAnsi="宋体" w:eastAsia="宋体" w:cs="宋体"/>
                <w:b/>
                <w:i w:val="0"/>
                <w:color w:val="000000"/>
                <w:kern w:val="0"/>
                <w:sz w:val="20"/>
                <w:szCs w:val="20"/>
                <w:u w:val="none"/>
                <w:bdr w:val="none" w:color="auto" w:sz="0" w:space="0"/>
                <w:lang w:val="en-US" w:eastAsia="zh-CN" w:bidi="ar"/>
              </w:rPr>
              <w:t>类型</w:t>
            </w:r>
          </w:p>
        </w:tc>
        <w:tc>
          <w:tcPr>
            <w:tcW w:w="334" w:type="pct"/>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bdr w:val="none" w:color="auto" w:sz="0" w:space="0"/>
                <w:lang w:val="en-US" w:eastAsia="zh-CN" w:bidi="ar"/>
              </w:rPr>
              <w:t>登记</w:t>
            </w:r>
            <w:r>
              <w:rPr>
                <w:rFonts w:hint="eastAsia" w:ascii="宋体" w:hAnsi="宋体" w:eastAsia="宋体" w:cs="宋体"/>
                <w:b/>
                <w:i w:val="0"/>
                <w:color w:val="000000"/>
                <w:kern w:val="0"/>
                <w:sz w:val="20"/>
                <w:szCs w:val="20"/>
                <w:u w:val="none"/>
                <w:bdr w:val="none" w:color="auto" w:sz="0" w:space="0"/>
                <w:lang w:val="en-US" w:eastAsia="zh-CN" w:bidi="ar"/>
              </w:rPr>
              <w:br w:type="textWrapping"/>
            </w:r>
            <w:r>
              <w:rPr>
                <w:rFonts w:hint="eastAsia" w:ascii="宋体" w:hAnsi="宋体" w:eastAsia="宋体" w:cs="宋体"/>
                <w:b/>
                <w:i w:val="0"/>
                <w:color w:val="000000"/>
                <w:kern w:val="0"/>
                <w:sz w:val="20"/>
                <w:szCs w:val="20"/>
                <w:u w:val="none"/>
                <w:bdr w:val="none" w:color="auto" w:sz="0" w:space="0"/>
                <w:lang w:val="en-US" w:eastAsia="zh-CN" w:bidi="ar"/>
              </w:rPr>
              <w:t>时间</w:t>
            </w:r>
          </w:p>
        </w:tc>
        <w:tc>
          <w:tcPr>
            <w:tcW w:w="3064" w:type="pct"/>
            <w:gridSpan w:val="10"/>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bdr w:val="none" w:color="auto" w:sz="0" w:space="0"/>
                <w:lang w:val="en-US" w:eastAsia="zh-CN" w:bidi="ar"/>
              </w:rPr>
              <w:t>公益性社会组织捐赠税前扣除资格审核认定主要信息</w:t>
            </w:r>
          </w:p>
        </w:tc>
        <w:tc>
          <w:tcPr>
            <w:tcW w:w="581" w:type="pct"/>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bdr w:val="none" w:color="auto" w:sz="0" w:space="0"/>
                <w:lang w:val="en-US" w:eastAsia="zh-CN" w:bidi="ar"/>
              </w:rPr>
              <w:t>备注</w:t>
            </w:r>
          </w:p>
        </w:tc>
      </w:tr>
      <w:tr>
        <w:tblPrEx>
          <w:tblCellMar>
            <w:top w:w="0" w:type="dxa"/>
            <w:left w:w="0" w:type="dxa"/>
            <w:bottom w:w="0" w:type="dxa"/>
            <w:right w:w="0" w:type="dxa"/>
          </w:tblCellMar>
        </w:tblPrEx>
        <w:trPr>
          <w:trHeight w:val="1099" w:hRule="atLeast"/>
        </w:trPr>
        <w:tc>
          <w:tcPr>
            <w:tcW w:w="655" w:type="pct"/>
            <w:vMerge w:val="continue"/>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b/>
                <w:i w:val="0"/>
                <w:color w:val="000000"/>
                <w:sz w:val="20"/>
                <w:szCs w:val="20"/>
                <w:u w:val="none"/>
              </w:rPr>
            </w:pPr>
          </w:p>
        </w:tc>
        <w:tc>
          <w:tcPr>
            <w:tcW w:w="364" w:type="pct"/>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b/>
                <w:i w:val="0"/>
                <w:color w:val="000000"/>
                <w:sz w:val="20"/>
                <w:szCs w:val="20"/>
                <w:u w:val="none"/>
              </w:rPr>
            </w:pPr>
          </w:p>
        </w:tc>
        <w:tc>
          <w:tcPr>
            <w:tcW w:w="334" w:type="pct"/>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b/>
                <w:i w:val="0"/>
                <w:color w:val="000000"/>
                <w:sz w:val="20"/>
                <w:szCs w:val="20"/>
                <w:u w:val="none"/>
              </w:rPr>
            </w:pPr>
          </w:p>
        </w:tc>
        <w:tc>
          <w:tcPr>
            <w:tcW w:w="396" w:type="pct"/>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exact"/>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bdr w:val="none" w:color="auto" w:sz="0" w:space="0"/>
                <w:lang w:val="en-US" w:eastAsia="zh-CN" w:bidi="ar"/>
              </w:rPr>
              <w:t>社会组织统一代码</w:t>
            </w:r>
          </w:p>
        </w:tc>
        <w:tc>
          <w:tcPr>
            <w:tcW w:w="231" w:type="pct"/>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bdr w:val="none" w:color="auto" w:sz="0" w:space="0"/>
                <w:lang w:val="en-US" w:eastAsia="zh-CN" w:bidi="ar"/>
              </w:rPr>
              <w:t>申请年度是否具有免税资格</w:t>
            </w:r>
          </w:p>
        </w:tc>
        <w:tc>
          <w:tcPr>
            <w:tcW w:w="258" w:type="pct"/>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bdr w:val="none" w:color="auto" w:sz="0" w:space="0"/>
                <w:lang w:val="en-US" w:eastAsia="zh-CN" w:bidi="ar"/>
              </w:rPr>
              <w:t>申请前2年登记机关行政处罚情况</w:t>
            </w:r>
          </w:p>
        </w:tc>
        <w:tc>
          <w:tcPr>
            <w:tcW w:w="250" w:type="pct"/>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exact"/>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bdr w:val="none" w:color="auto" w:sz="0" w:space="0"/>
                <w:lang w:val="en-US" w:eastAsia="zh-CN" w:bidi="ar"/>
              </w:rPr>
              <w:t>申请前2年登记机关是否列入失信名单</w:t>
            </w:r>
          </w:p>
        </w:tc>
        <w:tc>
          <w:tcPr>
            <w:tcW w:w="232" w:type="pct"/>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bdr w:val="none" w:color="auto" w:sz="0" w:space="0"/>
                <w:lang w:val="en-US" w:eastAsia="zh-CN" w:bidi="ar"/>
              </w:rPr>
              <w:t>社会组织评估等级</w:t>
            </w:r>
          </w:p>
        </w:tc>
        <w:tc>
          <w:tcPr>
            <w:tcW w:w="201" w:type="pct"/>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bdr w:val="none" w:color="auto" w:sz="0" w:space="0"/>
                <w:lang w:val="en-US" w:eastAsia="zh-CN" w:bidi="ar"/>
              </w:rPr>
              <w:t>是否符合税法相关规定</w:t>
            </w:r>
          </w:p>
        </w:tc>
        <w:tc>
          <w:tcPr>
            <w:tcW w:w="732" w:type="pct"/>
            <w:gridSpan w:val="2"/>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exact"/>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bdr w:val="none" w:color="auto" w:sz="0" w:space="0"/>
                <w:lang w:val="en-US" w:eastAsia="zh-CN" w:bidi="ar"/>
              </w:rPr>
              <w:t>申请前2年每年用于公益慈善事业的支出占上年末净资产的比例均不得低于8%</w:t>
            </w:r>
          </w:p>
        </w:tc>
        <w:tc>
          <w:tcPr>
            <w:tcW w:w="760" w:type="pct"/>
            <w:gridSpan w:val="2"/>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exact"/>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bdr w:val="none" w:color="auto" w:sz="0" w:space="0"/>
                <w:lang w:val="en-US" w:eastAsia="zh-CN" w:bidi="ar"/>
              </w:rPr>
              <w:t>申请前2年每年支出的管理费占当年总支出的比例均不得高于12%</w:t>
            </w:r>
          </w:p>
        </w:tc>
        <w:tc>
          <w:tcPr>
            <w:tcW w:w="581" w:type="pct"/>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b/>
                <w:i w:val="0"/>
                <w:color w:val="000000"/>
                <w:sz w:val="20"/>
                <w:szCs w:val="20"/>
                <w:u w:val="none"/>
              </w:rPr>
            </w:pPr>
          </w:p>
        </w:tc>
      </w:tr>
      <w:tr>
        <w:tblPrEx>
          <w:tblCellMar>
            <w:top w:w="0" w:type="dxa"/>
            <w:left w:w="0" w:type="dxa"/>
            <w:bottom w:w="0" w:type="dxa"/>
            <w:right w:w="0" w:type="dxa"/>
          </w:tblCellMar>
        </w:tblPrEx>
        <w:trPr>
          <w:trHeight w:val="402" w:hRule="atLeast"/>
        </w:trPr>
        <w:tc>
          <w:tcPr>
            <w:tcW w:w="655" w:type="pct"/>
            <w:vMerge w:val="continue"/>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b/>
                <w:i w:val="0"/>
                <w:color w:val="000000"/>
                <w:sz w:val="20"/>
                <w:szCs w:val="20"/>
                <w:u w:val="none"/>
              </w:rPr>
            </w:pPr>
          </w:p>
        </w:tc>
        <w:tc>
          <w:tcPr>
            <w:tcW w:w="364" w:type="pct"/>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b/>
                <w:i w:val="0"/>
                <w:color w:val="000000"/>
                <w:sz w:val="20"/>
                <w:szCs w:val="20"/>
                <w:u w:val="none"/>
              </w:rPr>
            </w:pPr>
          </w:p>
        </w:tc>
        <w:tc>
          <w:tcPr>
            <w:tcW w:w="334" w:type="pct"/>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b/>
                <w:i w:val="0"/>
                <w:color w:val="000000"/>
                <w:sz w:val="20"/>
                <w:szCs w:val="20"/>
                <w:u w:val="none"/>
              </w:rPr>
            </w:pPr>
          </w:p>
        </w:tc>
        <w:tc>
          <w:tcPr>
            <w:tcW w:w="396" w:type="pct"/>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left"/>
              <w:rPr>
                <w:rFonts w:hint="eastAsia" w:ascii="宋体" w:hAnsi="宋体" w:eastAsia="宋体" w:cs="宋体"/>
                <w:b/>
                <w:i w:val="0"/>
                <w:color w:val="000000"/>
                <w:sz w:val="20"/>
                <w:szCs w:val="20"/>
                <w:u w:val="none"/>
              </w:rPr>
            </w:pPr>
          </w:p>
        </w:tc>
        <w:tc>
          <w:tcPr>
            <w:tcW w:w="231" w:type="pct"/>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b/>
                <w:i w:val="0"/>
                <w:color w:val="000000"/>
                <w:sz w:val="20"/>
                <w:szCs w:val="20"/>
                <w:u w:val="none"/>
              </w:rPr>
            </w:pPr>
          </w:p>
        </w:tc>
        <w:tc>
          <w:tcPr>
            <w:tcW w:w="258" w:type="pct"/>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b/>
                <w:i w:val="0"/>
                <w:color w:val="000000"/>
                <w:sz w:val="20"/>
                <w:szCs w:val="20"/>
                <w:u w:val="none"/>
              </w:rPr>
            </w:pPr>
          </w:p>
        </w:tc>
        <w:tc>
          <w:tcPr>
            <w:tcW w:w="250" w:type="pct"/>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left"/>
              <w:rPr>
                <w:rFonts w:hint="eastAsia" w:ascii="宋体" w:hAnsi="宋体" w:eastAsia="宋体" w:cs="宋体"/>
                <w:b/>
                <w:i w:val="0"/>
                <w:color w:val="000000"/>
                <w:sz w:val="20"/>
                <w:szCs w:val="20"/>
                <w:u w:val="none"/>
              </w:rPr>
            </w:pPr>
          </w:p>
        </w:tc>
        <w:tc>
          <w:tcPr>
            <w:tcW w:w="232" w:type="pct"/>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b/>
                <w:i w:val="0"/>
                <w:color w:val="000000"/>
                <w:sz w:val="20"/>
                <w:szCs w:val="20"/>
                <w:u w:val="none"/>
              </w:rPr>
            </w:pPr>
          </w:p>
        </w:tc>
        <w:tc>
          <w:tcPr>
            <w:tcW w:w="201" w:type="pct"/>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b/>
                <w:i w:val="0"/>
                <w:color w:val="000000"/>
                <w:sz w:val="20"/>
                <w:szCs w:val="20"/>
                <w:u w:val="none"/>
              </w:rPr>
            </w:pPr>
          </w:p>
        </w:tc>
        <w:tc>
          <w:tcPr>
            <w:tcW w:w="390"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bdr w:val="none" w:color="auto" w:sz="0" w:space="0"/>
                <w:lang w:val="en-US" w:eastAsia="zh-CN" w:bidi="ar"/>
              </w:rPr>
              <w:t>2018年度</w:t>
            </w:r>
          </w:p>
        </w:tc>
        <w:tc>
          <w:tcPr>
            <w:tcW w:w="342" w:type="pc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bdr w:val="none" w:color="auto" w:sz="0" w:space="0"/>
                <w:lang w:val="en-US" w:eastAsia="zh-CN" w:bidi="ar"/>
              </w:rPr>
              <w:t>2019年度</w:t>
            </w:r>
          </w:p>
        </w:tc>
        <w:tc>
          <w:tcPr>
            <w:tcW w:w="409"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bdr w:val="none" w:color="auto" w:sz="0" w:space="0"/>
                <w:lang w:val="en-US" w:eastAsia="zh-CN" w:bidi="ar"/>
              </w:rPr>
              <w:t>2018年度</w:t>
            </w:r>
          </w:p>
        </w:tc>
        <w:tc>
          <w:tcPr>
            <w:tcW w:w="350" w:type="pc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bdr w:val="none" w:color="auto" w:sz="0" w:space="0"/>
                <w:lang w:val="en-US" w:eastAsia="zh-CN" w:bidi="ar"/>
              </w:rPr>
              <w:t>2019年度</w:t>
            </w:r>
          </w:p>
        </w:tc>
        <w:tc>
          <w:tcPr>
            <w:tcW w:w="581" w:type="pct"/>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b/>
                <w:i w:val="0"/>
                <w:color w:val="000000"/>
                <w:sz w:val="20"/>
                <w:szCs w:val="20"/>
                <w:u w:val="none"/>
              </w:rPr>
            </w:pPr>
          </w:p>
        </w:tc>
      </w:tr>
      <w:tr>
        <w:tblPrEx>
          <w:tblCellMar>
            <w:top w:w="0" w:type="dxa"/>
            <w:left w:w="0" w:type="dxa"/>
            <w:bottom w:w="0" w:type="dxa"/>
            <w:right w:w="0" w:type="dxa"/>
          </w:tblCellMar>
        </w:tblPrEx>
        <w:trPr>
          <w:trHeight w:val="800" w:hRule="atLeast"/>
        </w:trPr>
        <w:tc>
          <w:tcPr>
            <w:tcW w:w="655"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both"/>
              <w:rPr>
                <w:rFonts w:hint="eastAsia" w:ascii="宋体" w:hAnsi="宋体" w:eastAsia="宋体" w:cs="宋体"/>
                <w:i w:val="0"/>
                <w:color w:val="000000"/>
                <w:sz w:val="20"/>
                <w:szCs w:val="20"/>
                <w:u w:val="none"/>
              </w:rPr>
            </w:pPr>
          </w:p>
        </w:tc>
        <w:tc>
          <w:tcPr>
            <w:tcW w:w="364"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both"/>
              <w:rPr>
                <w:rFonts w:hint="eastAsia" w:ascii="宋体" w:hAnsi="宋体" w:eastAsia="宋体" w:cs="宋体"/>
                <w:i w:val="0"/>
                <w:color w:val="000000"/>
                <w:sz w:val="20"/>
                <w:szCs w:val="20"/>
                <w:u w:val="none"/>
              </w:rPr>
            </w:pPr>
          </w:p>
        </w:tc>
        <w:tc>
          <w:tcPr>
            <w:tcW w:w="334" w:type="pc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18"/>
                <w:szCs w:val="18"/>
                <w:u w:val="none"/>
              </w:rPr>
            </w:pPr>
          </w:p>
        </w:tc>
        <w:tc>
          <w:tcPr>
            <w:tcW w:w="396"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c>
          <w:tcPr>
            <w:tcW w:w="231"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c>
          <w:tcPr>
            <w:tcW w:w="258"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c>
          <w:tcPr>
            <w:tcW w:w="250"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c>
          <w:tcPr>
            <w:tcW w:w="232"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c>
          <w:tcPr>
            <w:tcW w:w="390"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c>
          <w:tcPr>
            <w:tcW w:w="342"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c>
          <w:tcPr>
            <w:tcW w:w="409"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c>
          <w:tcPr>
            <w:tcW w:w="350"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c>
          <w:tcPr>
            <w:tcW w:w="581" w:type="pc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800" w:hRule="atLeast"/>
        </w:trPr>
        <w:tc>
          <w:tcPr>
            <w:tcW w:w="655"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both"/>
              <w:rPr>
                <w:rFonts w:hint="eastAsia" w:ascii="宋体" w:hAnsi="宋体" w:eastAsia="宋体" w:cs="宋体"/>
                <w:i w:val="0"/>
                <w:color w:val="000000"/>
                <w:sz w:val="20"/>
                <w:szCs w:val="20"/>
                <w:u w:val="none"/>
              </w:rPr>
            </w:pPr>
          </w:p>
        </w:tc>
        <w:tc>
          <w:tcPr>
            <w:tcW w:w="364"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both"/>
              <w:rPr>
                <w:rFonts w:hint="eastAsia" w:ascii="宋体" w:hAnsi="宋体" w:eastAsia="宋体" w:cs="宋体"/>
                <w:i w:val="0"/>
                <w:color w:val="000000"/>
                <w:sz w:val="20"/>
                <w:szCs w:val="20"/>
                <w:u w:val="none"/>
              </w:rPr>
            </w:pPr>
          </w:p>
        </w:tc>
        <w:tc>
          <w:tcPr>
            <w:tcW w:w="334" w:type="pc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18"/>
                <w:szCs w:val="18"/>
                <w:u w:val="none"/>
              </w:rPr>
            </w:pPr>
          </w:p>
        </w:tc>
        <w:tc>
          <w:tcPr>
            <w:tcW w:w="396"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c>
          <w:tcPr>
            <w:tcW w:w="231"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c>
          <w:tcPr>
            <w:tcW w:w="258"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c>
          <w:tcPr>
            <w:tcW w:w="250"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c>
          <w:tcPr>
            <w:tcW w:w="232"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c>
          <w:tcPr>
            <w:tcW w:w="390"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c>
          <w:tcPr>
            <w:tcW w:w="342"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c>
          <w:tcPr>
            <w:tcW w:w="409"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c>
          <w:tcPr>
            <w:tcW w:w="350"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c>
          <w:tcPr>
            <w:tcW w:w="581" w:type="pc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820" w:hRule="atLeast"/>
        </w:trPr>
        <w:tc>
          <w:tcPr>
            <w:tcW w:w="655"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both"/>
              <w:rPr>
                <w:rFonts w:hint="eastAsia" w:ascii="宋体" w:hAnsi="宋体" w:eastAsia="宋体" w:cs="宋体"/>
                <w:i w:val="0"/>
                <w:color w:val="000000"/>
                <w:sz w:val="20"/>
                <w:szCs w:val="20"/>
                <w:u w:val="none"/>
              </w:rPr>
            </w:pPr>
          </w:p>
        </w:tc>
        <w:tc>
          <w:tcPr>
            <w:tcW w:w="364"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both"/>
              <w:rPr>
                <w:rFonts w:hint="eastAsia" w:ascii="宋体" w:hAnsi="宋体" w:eastAsia="宋体" w:cs="宋体"/>
                <w:i w:val="0"/>
                <w:color w:val="000000"/>
                <w:sz w:val="20"/>
                <w:szCs w:val="20"/>
                <w:u w:val="none"/>
              </w:rPr>
            </w:pPr>
          </w:p>
        </w:tc>
        <w:tc>
          <w:tcPr>
            <w:tcW w:w="334" w:type="pc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18"/>
                <w:szCs w:val="18"/>
                <w:u w:val="none"/>
              </w:rPr>
            </w:pPr>
          </w:p>
        </w:tc>
        <w:tc>
          <w:tcPr>
            <w:tcW w:w="396"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c>
          <w:tcPr>
            <w:tcW w:w="231"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c>
          <w:tcPr>
            <w:tcW w:w="258"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c>
          <w:tcPr>
            <w:tcW w:w="250"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c>
          <w:tcPr>
            <w:tcW w:w="232"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c>
          <w:tcPr>
            <w:tcW w:w="390"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c>
          <w:tcPr>
            <w:tcW w:w="342"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c>
          <w:tcPr>
            <w:tcW w:w="409"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c>
          <w:tcPr>
            <w:tcW w:w="350"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c>
          <w:tcPr>
            <w:tcW w:w="581" w:type="pc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r>
    </w:tbl>
    <w:p>
      <w:pPr>
        <w:keepNext w:val="0"/>
        <w:keepLines w:val="0"/>
        <w:pageBreakBefore w:val="0"/>
        <w:widowControl w:val="0"/>
        <w:kinsoku/>
        <w:wordWrap/>
        <w:overflowPunct/>
        <w:topLinePunct w:val="0"/>
        <w:autoSpaceDE/>
        <w:autoSpaceDN/>
        <w:bidi w:val="0"/>
        <w:adjustRightInd w:val="0"/>
        <w:snapToGrid w:val="0"/>
        <w:spacing w:line="579" w:lineRule="exact"/>
        <w:textAlignment w:val="auto"/>
        <w:rPr>
          <w:rFonts w:hint="eastAsia" w:ascii="黑体" w:hAnsi="黑体" w:eastAsia="黑体" w:cs="黑体"/>
          <w:sz w:val="32"/>
          <w:lang w:val="en-US" w:eastAsia="zh-CN"/>
        </w:rPr>
      </w:pPr>
    </w:p>
    <w:p>
      <w:pPr>
        <w:keepNext w:val="0"/>
        <w:keepLines w:val="0"/>
        <w:pageBreakBefore w:val="0"/>
        <w:widowControl w:val="0"/>
        <w:kinsoku/>
        <w:wordWrap/>
        <w:overflowPunct/>
        <w:topLinePunct w:val="0"/>
        <w:autoSpaceDE/>
        <w:autoSpaceDN/>
        <w:bidi w:val="0"/>
        <w:adjustRightInd w:val="0"/>
        <w:snapToGrid w:val="0"/>
        <w:spacing w:line="579" w:lineRule="exact"/>
        <w:textAlignment w:val="auto"/>
        <w:rPr>
          <w:rFonts w:hint="eastAsia" w:ascii="黑体" w:hAnsi="黑体" w:eastAsia="黑体" w:cs="黑体"/>
          <w:sz w:val="32"/>
          <w:lang w:val="en-US" w:eastAsia="zh-CN"/>
        </w:rPr>
      </w:pPr>
      <w:r>
        <w:rPr>
          <w:rFonts w:hint="eastAsia" w:ascii="黑体" w:hAnsi="黑体" w:eastAsia="黑体" w:cs="黑体"/>
          <w:sz w:val="32"/>
          <w:lang w:val="en-US" w:eastAsia="zh-CN"/>
        </w:rPr>
        <w:t>附件2</w:t>
      </w:r>
    </w:p>
    <w:p>
      <w:pPr>
        <w:keepNext w:val="0"/>
        <w:keepLines w:val="0"/>
        <w:pageBreakBefore w:val="0"/>
        <w:widowControl w:val="0"/>
        <w:kinsoku/>
        <w:wordWrap/>
        <w:overflowPunct/>
        <w:topLinePunct w:val="0"/>
        <w:autoSpaceDE/>
        <w:autoSpaceDN/>
        <w:bidi w:val="0"/>
        <w:adjustRightInd w:val="0"/>
        <w:snapToGrid w:val="0"/>
        <w:spacing w:line="579" w:lineRule="exact"/>
        <w:textAlignment w:val="auto"/>
        <w:rPr>
          <w:rFonts w:hint="eastAsia" w:ascii="黑体" w:hAnsi="黑体" w:eastAsia="黑体" w:cs="黑体"/>
          <w:sz w:val="32"/>
          <w:lang w:val="en-US" w:eastAsia="zh-CN"/>
        </w:rPr>
      </w:pPr>
    </w:p>
    <w:p>
      <w:pPr>
        <w:keepNext w:val="0"/>
        <w:keepLines w:val="0"/>
        <w:pageBreakBefore w:val="0"/>
        <w:widowControl w:val="0"/>
        <w:kinsoku/>
        <w:wordWrap/>
        <w:overflowPunct/>
        <w:topLinePunct w:val="0"/>
        <w:autoSpaceDE/>
        <w:autoSpaceDN/>
        <w:bidi w:val="0"/>
        <w:adjustRightInd w:val="0"/>
        <w:snapToGrid w:val="0"/>
        <w:spacing w:line="579" w:lineRule="exact"/>
        <w:jc w:val="center"/>
        <w:textAlignment w:val="auto"/>
        <w:rPr>
          <w:rFonts w:hint="eastAsia" w:ascii="黑体" w:hAnsi="黑体" w:eastAsia="黑体" w:cs="黑体"/>
          <w:sz w:val="32"/>
          <w:lang w:val="en-US" w:eastAsia="zh-CN"/>
        </w:rPr>
      </w:pPr>
      <w:r>
        <w:rPr>
          <w:rFonts w:hint="eastAsia" w:ascii="黑体" w:hAnsi="黑体" w:eastAsia="黑体" w:cs="黑体"/>
          <w:sz w:val="32"/>
          <w:lang w:val="en-US" w:eastAsia="zh-CN"/>
        </w:rPr>
        <w:t>2020年度－2022年度具有公开募捐资格社会组织公益性捐赠税前扣除资格确认填报表</w:t>
      </w:r>
    </w:p>
    <w:p>
      <w:pPr>
        <w:keepNext w:val="0"/>
        <w:keepLines w:val="0"/>
        <w:pageBreakBefore w:val="0"/>
        <w:widowControl w:val="0"/>
        <w:kinsoku/>
        <w:wordWrap/>
        <w:overflowPunct/>
        <w:topLinePunct w:val="0"/>
        <w:autoSpaceDE/>
        <w:autoSpaceDN/>
        <w:bidi w:val="0"/>
        <w:adjustRightInd w:val="0"/>
        <w:snapToGrid w:val="0"/>
        <w:spacing w:line="579" w:lineRule="exact"/>
        <w:textAlignment w:val="auto"/>
        <w:rPr>
          <w:rFonts w:hint="eastAsia" w:ascii="黑体" w:hAnsi="黑体" w:eastAsia="黑体" w:cs="黑体"/>
          <w:sz w:val="32"/>
          <w:lang w:val="en-US" w:eastAsia="zh-CN"/>
        </w:rPr>
      </w:pPr>
    </w:p>
    <w:tbl>
      <w:tblPr>
        <w:tblW w:w="4999" w:type="pct"/>
        <w:tblInd w:w="0" w:type="dxa"/>
        <w:shd w:val="clear"/>
        <w:tblLayout w:type="autofit"/>
        <w:tblCellMar>
          <w:top w:w="0" w:type="dxa"/>
          <w:left w:w="0" w:type="dxa"/>
          <w:bottom w:w="0" w:type="dxa"/>
          <w:right w:w="0" w:type="dxa"/>
        </w:tblCellMar>
      </w:tblPr>
      <w:tblGrid>
        <w:gridCol w:w="1675"/>
        <w:gridCol w:w="931"/>
        <w:gridCol w:w="856"/>
        <w:gridCol w:w="1012"/>
        <w:gridCol w:w="591"/>
        <w:gridCol w:w="662"/>
        <w:gridCol w:w="639"/>
        <w:gridCol w:w="593"/>
        <w:gridCol w:w="514"/>
        <w:gridCol w:w="997"/>
        <w:gridCol w:w="879"/>
        <w:gridCol w:w="1046"/>
        <w:gridCol w:w="905"/>
        <w:gridCol w:w="1483"/>
      </w:tblGrid>
      <w:tr>
        <w:tblPrEx>
          <w:tblCellMar>
            <w:top w:w="0" w:type="dxa"/>
            <w:left w:w="0" w:type="dxa"/>
            <w:bottom w:w="0" w:type="dxa"/>
            <w:right w:w="0" w:type="dxa"/>
          </w:tblCellMar>
        </w:tblPrEx>
        <w:trPr>
          <w:trHeight w:val="900" w:hRule="atLeast"/>
        </w:trPr>
        <w:tc>
          <w:tcPr>
            <w:tcW w:w="1354" w:type="pct"/>
            <w:gridSpan w:val="3"/>
            <w:tcBorders>
              <w:top w:val="nil"/>
              <w:left w:val="nil"/>
              <w:bottom w:val="nil"/>
              <w:right w:val="nil"/>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exact"/>
              <w:jc w:val="left"/>
              <w:textAlignment w:val="center"/>
              <w:rPr>
                <w:rFonts w:ascii="仿宋" w:hAnsi="仿宋" w:eastAsia="仿宋" w:cs="仿宋"/>
                <w:b/>
                <w:i w:val="0"/>
                <w:color w:val="000000"/>
                <w:sz w:val="24"/>
                <w:szCs w:val="24"/>
                <w:u w:val="none"/>
              </w:rPr>
            </w:pPr>
            <w:r>
              <w:rPr>
                <w:rFonts w:hint="eastAsia" w:ascii="仿宋" w:hAnsi="仿宋" w:eastAsia="仿宋" w:cs="仿宋"/>
                <w:b/>
                <w:i w:val="0"/>
                <w:color w:val="000000"/>
                <w:kern w:val="0"/>
                <w:sz w:val="24"/>
                <w:szCs w:val="24"/>
                <w:u w:val="none"/>
                <w:bdr w:val="none" w:color="auto" w:sz="0" w:space="0"/>
                <w:lang w:val="en-US" w:eastAsia="zh-CN" w:bidi="ar"/>
              </w:rPr>
              <w:t>填报单位盖章：</w:t>
            </w:r>
          </w:p>
        </w:tc>
        <w:tc>
          <w:tcPr>
            <w:tcW w:w="886" w:type="pct"/>
            <w:gridSpan w:val="3"/>
            <w:tcBorders>
              <w:top w:val="nil"/>
              <w:left w:val="nil"/>
              <w:bottom w:val="nil"/>
              <w:right w:val="nil"/>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left"/>
              <w:rPr>
                <w:rFonts w:hint="eastAsia" w:ascii="仿宋" w:hAnsi="仿宋" w:eastAsia="仿宋" w:cs="仿宋"/>
                <w:b/>
                <w:i w:val="0"/>
                <w:color w:val="000000"/>
                <w:sz w:val="24"/>
                <w:szCs w:val="24"/>
                <w:u w:val="none"/>
              </w:rPr>
            </w:pPr>
          </w:p>
        </w:tc>
        <w:tc>
          <w:tcPr>
            <w:tcW w:w="1417" w:type="pct"/>
            <w:gridSpan w:val="5"/>
            <w:tcBorders>
              <w:top w:val="nil"/>
              <w:left w:val="nil"/>
              <w:bottom w:val="nil"/>
              <w:right w:val="nil"/>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exact"/>
              <w:jc w:val="left"/>
              <w:textAlignment w:val="center"/>
              <w:rPr>
                <w:rFonts w:hint="eastAsia" w:ascii="仿宋" w:hAnsi="仿宋" w:eastAsia="仿宋" w:cs="仿宋"/>
                <w:b/>
                <w:i w:val="0"/>
                <w:color w:val="000000"/>
                <w:sz w:val="24"/>
                <w:szCs w:val="24"/>
                <w:u w:val="none"/>
              </w:rPr>
            </w:pPr>
            <w:r>
              <w:rPr>
                <w:rFonts w:hint="eastAsia" w:ascii="仿宋" w:hAnsi="仿宋" w:eastAsia="仿宋" w:cs="仿宋"/>
                <w:b/>
                <w:i w:val="0"/>
                <w:color w:val="000000"/>
                <w:kern w:val="0"/>
                <w:sz w:val="24"/>
                <w:szCs w:val="24"/>
                <w:u w:val="none"/>
                <w:bdr w:val="none" w:color="auto" w:sz="0" w:space="0"/>
                <w:lang w:val="en-US" w:eastAsia="zh-CN" w:bidi="ar"/>
              </w:rPr>
              <w:t>联系电话：</w:t>
            </w:r>
          </w:p>
        </w:tc>
        <w:tc>
          <w:tcPr>
            <w:tcW w:w="1341" w:type="pct"/>
            <w:gridSpan w:val="3"/>
            <w:tcBorders>
              <w:top w:val="nil"/>
              <w:left w:val="nil"/>
              <w:bottom w:val="nil"/>
              <w:right w:val="nil"/>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exact"/>
              <w:jc w:val="left"/>
              <w:textAlignment w:val="center"/>
              <w:rPr>
                <w:rFonts w:hint="eastAsia" w:ascii="仿宋" w:hAnsi="仿宋" w:eastAsia="仿宋" w:cs="仿宋"/>
                <w:b/>
                <w:i w:val="0"/>
                <w:color w:val="000000"/>
                <w:sz w:val="24"/>
                <w:szCs w:val="24"/>
                <w:u w:val="none"/>
              </w:rPr>
            </w:pPr>
            <w:r>
              <w:rPr>
                <w:rFonts w:hint="eastAsia" w:ascii="仿宋" w:hAnsi="仿宋" w:eastAsia="仿宋" w:cs="仿宋"/>
                <w:b/>
                <w:i w:val="0"/>
                <w:color w:val="000000"/>
                <w:kern w:val="0"/>
                <w:sz w:val="24"/>
                <w:szCs w:val="24"/>
                <w:u w:val="none"/>
                <w:bdr w:val="none" w:color="auto" w:sz="0" w:space="0"/>
                <w:lang w:val="en-US" w:eastAsia="zh-CN" w:bidi="ar"/>
              </w:rPr>
              <w:t>填报时间：</w:t>
            </w:r>
          </w:p>
        </w:tc>
      </w:tr>
      <w:tr>
        <w:tblPrEx>
          <w:tblCellMar>
            <w:top w:w="0" w:type="dxa"/>
            <w:left w:w="0" w:type="dxa"/>
            <w:bottom w:w="0" w:type="dxa"/>
            <w:right w:w="0" w:type="dxa"/>
          </w:tblCellMar>
        </w:tblPrEx>
        <w:trPr>
          <w:trHeight w:val="480" w:hRule="atLeast"/>
        </w:trPr>
        <w:tc>
          <w:tcPr>
            <w:tcW w:w="655" w:type="pct"/>
            <w:vMerge w:val="restar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bdr w:val="none" w:color="auto" w:sz="0" w:space="0"/>
                <w:lang w:val="en-US" w:eastAsia="zh-CN" w:bidi="ar"/>
              </w:rPr>
              <w:t>社会组织名称</w:t>
            </w:r>
          </w:p>
        </w:tc>
        <w:tc>
          <w:tcPr>
            <w:tcW w:w="364" w:type="pct"/>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bdr w:val="none" w:color="auto" w:sz="0" w:space="0"/>
                <w:lang w:val="en-US" w:eastAsia="zh-CN" w:bidi="ar"/>
              </w:rPr>
              <w:t>登记</w:t>
            </w:r>
            <w:r>
              <w:rPr>
                <w:rFonts w:hint="eastAsia" w:ascii="宋体" w:hAnsi="宋体" w:eastAsia="宋体" w:cs="宋体"/>
                <w:b/>
                <w:i w:val="0"/>
                <w:color w:val="000000"/>
                <w:kern w:val="0"/>
                <w:sz w:val="20"/>
                <w:szCs w:val="20"/>
                <w:u w:val="none"/>
                <w:bdr w:val="none" w:color="auto" w:sz="0" w:space="0"/>
                <w:lang w:val="en-US" w:eastAsia="zh-CN" w:bidi="ar"/>
              </w:rPr>
              <w:br w:type="textWrapping"/>
            </w:r>
            <w:r>
              <w:rPr>
                <w:rFonts w:hint="eastAsia" w:ascii="宋体" w:hAnsi="宋体" w:eastAsia="宋体" w:cs="宋体"/>
                <w:b/>
                <w:i w:val="0"/>
                <w:color w:val="000000"/>
                <w:kern w:val="0"/>
                <w:sz w:val="20"/>
                <w:szCs w:val="20"/>
                <w:u w:val="none"/>
                <w:bdr w:val="none" w:color="auto" w:sz="0" w:space="0"/>
                <w:lang w:val="en-US" w:eastAsia="zh-CN" w:bidi="ar"/>
              </w:rPr>
              <w:t>类型</w:t>
            </w:r>
          </w:p>
        </w:tc>
        <w:tc>
          <w:tcPr>
            <w:tcW w:w="334" w:type="pct"/>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bdr w:val="none" w:color="auto" w:sz="0" w:space="0"/>
                <w:lang w:val="en-US" w:eastAsia="zh-CN" w:bidi="ar"/>
              </w:rPr>
              <w:t>登记</w:t>
            </w:r>
            <w:r>
              <w:rPr>
                <w:rFonts w:hint="eastAsia" w:ascii="宋体" w:hAnsi="宋体" w:eastAsia="宋体" w:cs="宋体"/>
                <w:b/>
                <w:i w:val="0"/>
                <w:color w:val="000000"/>
                <w:kern w:val="0"/>
                <w:sz w:val="20"/>
                <w:szCs w:val="20"/>
                <w:u w:val="none"/>
                <w:bdr w:val="none" w:color="auto" w:sz="0" w:space="0"/>
                <w:lang w:val="en-US" w:eastAsia="zh-CN" w:bidi="ar"/>
              </w:rPr>
              <w:br w:type="textWrapping"/>
            </w:r>
            <w:r>
              <w:rPr>
                <w:rFonts w:hint="eastAsia" w:ascii="宋体" w:hAnsi="宋体" w:eastAsia="宋体" w:cs="宋体"/>
                <w:b/>
                <w:i w:val="0"/>
                <w:color w:val="000000"/>
                <w:kern w:val="0"/>
                <w:sz w:val="20"/>
                <w:szCs w:val="20"/>
                <w:u w:val="none"/>
                <w:bdr w:val="none" w:color="auto" w:sz="0" w:space="0"/>
                <w:lang w:val="en-US" w:eastAsia="zh-CN" w:bidi="ar"/>
              </w:rPr>
              <w:t>时间</w:t>
            </w:r>
          </w:p>
        </w:tc>
        <w:tc>
          <w:tcPr>
            <w:tcW w:w="3064" w:type="pct"/>
            <w:gridSpan w:val="10"/>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bdr w:val="none" w:color="auto" w:sz="0" w:space="0"/>
                <w:lang w:val="en-US" w:eastAsia="zh-CN" w:bidi="ar"/>
              </w:rPr>
              <w:t>公益性社会组织捐赠税前扣除资格审核认定主要信息</w:t>
            </w:r>
          </w:p>
        </w:tc>
        <w:tc>
          <w:tcPr>
            <w:tcW w:w="581" w:type="pct"/>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bdr w:val="none" w:color="auto" w:sz="0" w:space="0"/>
                <w:lang w:val="en-US" w:eastAsia="zh-CN" w:bidi="ar"/>
              </w:rPr>
              <w:t>备注</w:t>
            </w:r>
          </w:p>
        </w:tc>
      </w:tr>
      <w:tr>
        <w:tblPrEx>
          <w:tblCellMar>
            <w:top w:w="0" w:type="dxa"/>
            <w:left w:w="0" w:type="dxa"/>
            <w:bottom w:w="0" w:type="dxa"/>
            <w:right w:w="0" w:type="dxa"/>
          </w:tblCellMar>
        </w:tblPrEx>
        <w:trPr>
          <w:trHeight w:val="1099" w:hRule="atLeast"/>
        </w:trPr>
        <w:tc>
          <w:tcPr>
            <w:tcW w:w="655" w:type="pct"/>
            <w:vMerge w:val="continue"/>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b/>
                <w:i w:val="0"/>
                <w:color w:val="000000"/>
                <w:sz w:val="20"/>
                <w:szCs w:val="20"/>
                <w:u w:val="none"/>
              </w:rPr>
            </w:pPr>
          </w:p>
        </w:tc>
        <w:tc>
          <w:tcPr>
            <w:tcW w:w="364" w:type="pct"/>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b/>
                <w:i w:val="0"/>
                <w:color w:val="000000"/>
                <w:sz w:val="20"/>
                <w:szCs w:val="20"/>
                <w:u w:val="none"/>
              </w:rPr>
            </w:pPr>
          </w:p>
        </w:tc>
        <w:tc>
          <w:tcPr>
            <w:tcW w:w="334" w:type="pct"/>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b/>
                <w:i w:val="0"/>
                <w:color w:val="000000"/>
                <w:sz w:val="20"/>
                <w:szCs w:val="20"/>
                <w:u w:val="none"/>
              </w:rPr>
            </w:pPr>
          </w:p>
        </w:tc>
        <w:tc>
          <w:tcPr>
            <w:tcW w:w="396" w:type="pct"/>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exact"/>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bdr w:val="none" w:color="auto" w:sz="0" w:space="0"/>
                <w:lang w:val="en-US" w:eastAsia="zh-CN" w:bidi="ar"/>
              </w:rPr>
              <w:t>社会组织统一代码</w:t>
            </w:r>
          </w:p>
        </w:tc>
        <w:tc>
          <w:tcPr>
            <w:tcW w:w="231" w:type="pct"/>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bdr w:val="none" w:color="auto" w:sz="0" w:space="0"/>
                <w:lang w:val="en-US" w:eastAsia="zh-CN" w:bidi="ar"/>
              </w:rPr>
              <w:t>申请年度是否具有免税资格</w:t>
            </w:r>
          </w:p>
        </w:tc>
        <w:tc>
          <w:tcPr>
            <w:tcW w:w="258" w:type="pct"/>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bdr w:val="none" w:color="auto" w:sz="0" w:space="0"/>
                <w:lang w:val="en-US" w:eastAsia="zh-CN" w:bidi="ar"/>
              </w:rPr>
              <w:t>申请前2年登记机关行政处罚情况</w:t>
            </w:r>
          </w:p>
        </w:tc>
        <w:tc>
          <w:tcPr>
            <w:tcW w:w="250" w:type="pct"/>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exact"/>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bdr w:val="none" w:color="auto" w:sz="0" w:space="0"/>
                <w:lang w:val="en-US" w:eastAsia="zh-CN" w:bidi="ar"/>
              </w:rPr>
              <w:t>申请前2年登记机关是否列入失信名单</w:t>
            </w:r>
          </w:p>
        </w:tc>
        <w:tc>
          <w:tcPr>
            <w:tcW w:w="232" w:type="pct"/>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bdr w:val="none" w:color="auto" w:sz="0" w:space="0"/>
                <w:lang w:val="en-US" w:eastAsia="zh-CN" w:bidi="ar"/>
              </w:rPr>
              <w:t>社会组织评估等级</w:t>
            </w:r>
          </w:p>
        </w:tc>
        <w:tc>
          <w:tcPr>
            <w:tcW w:w="201" w:type="pct"/>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bdr w:val="none" w:color="auto" w:sz="0" w:space="0"/>
                <w:lang w:val="en-US" w:eastAsia="zh-CN" w:bidi="ar"/>
              </w:rPr>
              <w:t>是否符合税法相关规定</w:t>
            </w:r>
          </w:p>
        </w:tc>
        <w:tc>
          <w:tcPr>
            <w:tcW w:w="732" w:type="pct"/>
            <w:gridSpan w:val="2"/>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exact"/>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bdr w:val="none" w:color="auto" w:sz="0" w:space="0"/>
                <w:lang w:val="en-US" w:eastAsia="zh-CN" w:bidi="ar"/>
              </w:rPr>
              <w:t>申请前2年每年用于公益慈善事业的支出占上年总收入的比例均不得低于70%</w:t>
            </w:r>
          </w:p>
        </w:tc>
        <w:tc>
          <w:tcPr>
            <w:tcW w:w="760" w:type="pct"/>
            <w:gridSpan w:val="2"/>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exact"/>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bdr w:val="none" w:color="auto" w:sz="0" w:space="0"/>
                <w:lang w:val="en-US" w:eastAsia="zh-CN" w:bidi="ar"/>
              </w:rPr>
              <w:t>申请前2年每年支出的管理费占当年总支出的比例均不得高于10%</w:t>
            </w:r>
          </w:p>
        </w:tc>
        <w:tc>
          <w:tcPr>
            <w:tcW w:w="581" w:type="pct"/>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b/>
                <w:i w:val="0"/>
                <w:color w:val="000000"/>
                <w:sz w:val="20"/>
                <w:szCs w:val="20"/>
                <w:u w:val="none"/>
              </w:rPr>
            </w:pPr>
          </w:p>
        </w:tc>
      </w:tr>
      <w:tr>
        <w:tblPrEx>
          <w:tblCellMar>
            <w:top w:w="0" w:type="dxa"/>
            <w:left w:w="0" w:type="dxa"/>
            <w:bottom w:w="0" w:type="dxa"/>
            <w:right w:w="0" w:type="dxa"/>
          </w:tblCellMar>
        </w:tblPrEx>
        <w:trPr>
          <w:trHeight w:val="402" w:hRule="atLeast"/>
        </w:trPr>
        <w:tc>
          <w:tcPr>
            <w:tcW w:w="655" w:type="pct"/>
            <w:vMerge w:val="continue"/>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b/>
                <w:i w:val="0"/>
                <w:color w:val="000000"/>
                <w:sz w:val="20"/>
                <w:szCs w:val="20"/>
                <w:u w:val="none"/>
              </w:rPr>
            </w:pPr>
          </w:p>
        </w:tc>
        <w:tc>
          <w:tcPr>
            <w:tcW w:w="364" w:type="pct"/>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b/>
                <w:i w:val="0"/>
                <w:color w:val="000000"/>
                <w:sz w:val="20"/>
                <w:szCs w:val="20"/>
                <w:u w:val="none"/>
              </w:rPr>
            </w:pPr>
          </w:p>
        </w:tc>
        <w:tc>
          <w:tcPr>
            <w:tcW w:w="334" w:type="pct"/>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b/>
                <w:i w:val="0"/>
                <w:color w:val="000000"/>
                <w:sz w:val="20"/>
                <w:szCs w:val="20"/>
                <w:u w:val="none"/>
              </w:rPr>
            </w:pPr>
          </w:p>
        </w:tc>
        <w:tc>
          <w:tcPr>
            <w:tcW w:w="396" w:type="pct"/>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left"/>
              <w:rPr>
                <w:rFonts w:hint="eastAsia" w:ascii="宋体" w:hAnsi="宋体" w:eastAsia="宋体" w:cs="宋体"/>
                <w:b/>
                <w:i w:val="0"/>
                <w:color w:val="000000"/>
                <w:sz w:val="20"/>
                <w:szCs w:val="20"/>
                <w:u w:val="none"/>
              </w:rPr>
            </w:pPr>
          </w:p>
        </w:tc>
        <w:tc>
          <w:tcPr>
            <w:tcW w:w="231" w:type="pct"/>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b/>
                <w:i w:val="0"/>
                <w:color w:val="000000"/>
                <w:sz w:val="20"/>
                <w:szCs w:val="20"/>
                <w:u w:val="none"/>
              </w:rPr>
            </w:pPr>
          </w:p>
        </w:tc>
        <w:tc>
          <w:tcPr>
            <w:tcW w:w="258" w:type="pct"/>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b/>
                <w:i w:val="0"/>
                <w:color w:val="000000"/>
                <w:sz w:val="20"/>
                <w:szCs w:val="20"/>
                <w:u w:val="none"/>
              </w:rPr>
            </w:pPr>
          </w:p>
        </w:tc>
        <w:tc>
          <w:tcPr>
            <w:tcW w:w="250" w:type="pct"/>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left"/>
              <w:rPr>
                <w:rFonts w:hint="eastAsia" w:ascii="宋体" w:hAnsi="宋体" w:eastAsia="宋体" w:cs="宋体"/>
                <w:b/>
                <w:i w:val="0"/>
                <w:color w:val="000000"/>
                <w:sz w:val="20"/>
                <w:szCs w:val="20"/>
                <w:u w:val="none"/>
              </w:rPr>
            </w:pPr>
          </w:p>
        </w:tc>
        <w:tc>
          <w:tcPr>
            <w:tcW w:w="232" w:type="pct"/>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b/>
                <w:i w:val="0"/>
                <w:color w:val="000000"/>
                <w:sz w:val="20"/>
                <w:szCs w:val="20"/>
                <w:u w:val="none"/>
              </w:rPr>
            </w:pPr>
          </w:p>
        </w:tc>
        <w:tc>
          <w:tcPr>
            <w:tcW w:w="201" w:type="pct"/>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b/>
                <w:i w:val="0"/>
                <w:color w:val="000000"/>
                <w:sz w:val="20"/>
                <w:szCs w:val="20"/>
                <w:u w:val="none"/>
              </w:rPr>
            </w:pPr>
          </w:p>
        </w:tc>
        <w:tc>
          <w:tcPr>
            <w:tcW w:w="390"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bdr w:val="none" w:color="auto" w:sz="0" w:space="0"/>
                <w:lang w:val="en-US" w:eastAsia="zh-CN" w:bidi="ar"/>
              </w:rPr>
              <w:t>2018年度</w:t>
            </w:r>
          </w:p>
        </w:tc>
        <w:tc>
          <w:tcPr>
            <w:tcW w:w="342" w:type="pc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bdr w:val="none" w:color="auto" w:sz="0" w:space="0"/>
                <w:lang w:val="en-US" w:eastAsia="zh-CN" w:bidi="ar"/>
              </w:rPr>
              <w:t>2019年度</w:t>
            </w:r>
          </w:p>
        </w:tc>
        <w:tc>
          <w:tcPr>
            <w:tcW w:w="409"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bdr w:val="none" w:color="auto" w:sz="0" w:space="0"/>
                <w:lang w:val="en-US" w:eastAsia="zh-CN" w:bidi="ar"/>
              </w:rPr>
              <w:t>2018年度</w:t>
            </w:r>
          </w:p>
        </w:tc>
        <w:tc>
          <w:tcPr>
            <w:tcW w:w="350" w:type="pc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exact"/>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bdr w:val="none" w:color="auto" w:sz="0" w:space="0"/>
                <w:lang w:val="en-US" w:eastAsia="zh-CN" w:bidi="ar"/>
              </w:rPr>
              <w:t>2019年度</w:t>
            </w:r>
          </w:p>
        </w:tc>
        <w:tc>
          <w:tcPr>
            <w:tcW w:w="581" w:type="pct"/>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b/>
                <w:i w:val="0"/>
                <w:color w:val="000000"/>
                <w:sz w:val="20"/>
                <w:szCs w:val="20"/>
                <w:u w:val="none"/>
              </w:rPr>
            </w:pPr>
          </w:p>
        </w:tc>
      </w:tr>
      <w:tr>
        <w:tblPrEx>
          <w:tblCellMar>
            <w:top w:w="0" w:type="dxa"/>
            <w:left w:w="0" w:type="dxa"/>
            <w:bottom w:w="0" w:type="dxa"/>
            <w:right w:w="0" w:type="dxa"/>
          </w:tblCellMar>
        </w:tblPrEx>
        <w:trPr>
          <w:trHeight w:val="800" w:hRule="atLeast"/>
        </w:trPr>
        <w:tc>
          <w:tcPr>
            <w:tcW w:w="655"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both"/>
              <w:rPr>
                <w:rFonts w:hint="eastAsia" w:ascii="宋体" w:hAnsi="宋体" w:eastAsia="宋体" w:cs="宋体"/>
                <w:i w:val="0"/>
                <w:color w:val="000000"/>
                <w:sz w:val="20"/>
                <w:szCs w:val="20"/>
                <w:u w:val="none"/>
              </w:rPr>
            </w:pPr>
          </w:p>
        </w:tc>
        <w:tc>
          <w:tcPr>
            <w:tcW w:w="364"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both"/>
              <w:rPr>
                <w:rFonts w:hint="eastAsia" w:ascii="宋体" w:hAnsi="宋体" w:eastAsia="宋体" w:cs="宋体"/>
                <w:i w:val="0"/>
                <w:color w:val="000000"/>
                <w:sz w:val="20"/>
                <w:szCs w:val="20"/>
                <w:u w:val="none"/>
              </w:rPr>
            </w:pPr>
          </w:p>
        </w:tc>
        <w:tc>
          <w:tcPr>
            <w:tcW w:w="334" w:type="pc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18"/>
                <w:szCs w:val="18"/>
                <w:u w:val="none"/>
              </w:rPr>
            </w:pPr>
          </w:p>
        </w:tc>
        <w:tc>
          <w:tcPr>
            <w:tcW w:w="396"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c>
          <w:tcPr>
            <w:tcW w:w="231"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c>
          <w:tcPr>
            <w:tcW w:w="258"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c>
          <w:tcPr>
            <w:tcW w:w="250"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c>
          <w:tcPr>
            <w:tcW w:w="232"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c>
          <w:tcPr>
            <w:tcW w:w="390"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c>
          <w:tcPr>
            <w:tcW w:w="342"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c>
          <w:tcPr>
            <w:tcW w:w="409"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c>
          <w:tcPr>
            <w:tcW w:w="350"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c>
          <w:tcPr>
            <w:tcW w:w="581" w:type="pc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800" w:hRule="atLeast"/>
        </w:trPr>
        <w:tc>
          <w:tcPr>
            <w:tcW w:w="655"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both"/>
              <w:rPr>
                <w:rFonts w:hint="eastAsia" w:ascii="宋体" w:hAnsi="宋体" w:eastAsia="宋体" w:cs="宋体"/>
                <w:i w:val="0"/>
                <w:color w:val="000000"/>
                <w:sz w:val="20"/>
                <w:szCs w:val="20"/>
                <w:u w:val="none"/>
              </w:rPr>
            </w:pPr>
          </w:p>
        </w:tc>
        <w:tc>
          <w:tcPr>
            <w:tcW w:w="364"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both"/>
              <w:rPr>
                <w:rFonts w:hint="eastAsia" w:ascii="宋体" w:hAnsi="宋体" w:eastAsia="宋体" w:cs="宋体"/>
                <w:i w:val="0"/>
                <w:color w:val="000000"/>
                <w:sz w:val="20"/>
                <w:szCs w:val="20"/>
                <w:u w:val="none"/>
              </w:rPr>
            </w:pPr>
          </w:p>
        </w:tc>
        <w:tc>
          <w:tcPr>
            <w:tcW w:w="334" w:type="pc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18"/>
                <w:szCs w:val="18"/>
                <w:u w:val="none"/>
              </w:rPr>
            </w:pPr>
          </w:p>
        </w:tc>
        <w:tc>
          <w:tcPr>
            <w:tcW w:w="396"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c>
          <w:tcPr>
            <w:tcW w:w="231"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c>
          <w:tcPr>
            <w:tcW w:w="258"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c>
          <w:tcPr>
            <w:tcW w:w="250"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c>
          <w:tcPr>
            <w:tcW w:w="232"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c>
          <w:tcPr>
            <w:tcW w:w="390"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c>
          <w:tcPr>
            <w:tcW w:w="342"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c>
          <w:tcPr>
            <w:tcW w:w="409"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c>
          <w:tcPr>
            <w:tcW w:w="350"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c>
          <w:tcPr>
            <w:tcW w:w="581" w:type="pc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820" w:hRule="atLeast"/>
        </w:trPr>
        <w:tc>
          <w:tcPr>
            <w:tcW w:w="655"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both"/>
              <w:rPr>
                <w:rFonts w:hint="eastAsia" w:ascii="宋体" w:hAnsi="宋体" w:eastAsia="宋体" w:cs="宋体"/>
                <w:i w:val="0"/>
                <w:color w:val="000000"/>
                <w:sz w:val="20"/>
                <w:szCs w:val="20"/>
                <w:u w:val="none"/>
              </w:rPr>
            </w:pPr>
          </w:p>
        </w:tc>
        <w:tc>
          <w:tcPr>
            <w:tcW w:w="364"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both"/>
              <w:rPr>
                <w:rFonts w:hint="eastAsia" w:ascii="宋体" w:hAnsi="宋体" w:eastAsia="宋体" w:cs="宋体"/>
                <w:i w:val="0"/>
                <w:color w:val="000000"/>
                <w:sz w:val="20"/>
                <w:szCs w:val="20"/>
                <w:u w:val="none"/>
              </w:rPr>
            </w:pPr>
          </w:p>
        </w:tc>
        <w:tc>
          <w:tcPr>
            <w:tcW w:w="334" w:type="pc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18"/>
                <w:szCs w:val="18"/>
                <w:u w:val="none"/>
              </w:rPr>
            </w:pPr>
          </w:p>
        </w:tc>
        <w:tc>
          <w:tcPr>
            <w:tcW w:w="396"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c>
          <w:tcPr>
            <w:tcW w:w="231"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c>
          <w:tcPr>
            <w:tcW w:w="258"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c>
          <w:tcPr>
            <w:tcW w:w="250"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c>
          <w:tcPr>
            <w:tcW w:w="232"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c>
          <w:tcPr>
            <w:tcW w:w="201"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c>
          <w:tcPr>
            <w:tcW w:w="390"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c>
          <w:tcPr>
            <w:tcW w:w="342"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c>
          <w:tcPr>
            <w:tcW w:w="409"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c>
          <w:tcPr>
            <w:tcW w:w="350" w:type="pct"/>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c>
          <w:tcPr>
            <w:tcW w:w="581" w:type="pc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240" w:lineRule="exact"/>
              <w:jc w:val="center"/>
              <w:rPr>
                <w:rFonts w:hint="eastAsia" w:ascii="宋体" w:hAnsi="宋体" w:eastAsia="宋体" w:cs="宋体"/>
                <w:i w:val="0"/>
                <w:color w:val="000000"/>
                <w:sz w:val="20"/>
                <w:szCs w:val="20"/>
                <w:u w:val="none"/>
              </w:rPr>
            </w:pPr>
          </w:p>
        </w:tc>
      </w:tr>
    </w:tbl>
    <w:p>
      <w:pPr>
        <w:keepNext w:val="0"/>
        <w:keepLines w:val="0"/>
        <w:pageBreakBefore w:val="0"/>
        <w:widowControl w:val="0"/>
        <w:kinsoku/>
        <w:wordWrap/>
        <w:overflowPunct/>
        <w:topLinePunct w:val="0"/>
        <w:autoSpaceDE/>
        <w:autoSpaceDN/>
        <w:bidi w:val="0"/>
        <w:adjustRightInd w:val="0"/>
        <w:snapToGrid w:val="0"/>
        <w:spacing w:line="579" w:lineRule="exact"/>
        <w:textAlignment w:val="auto"/>
        <w:rPr>
          <w:rFonts w:hint="default" w:ascii="黑体" w:hAnsi="黑体" w:eastAsia="黑体" w:cs="黑体"/>
          <w:sz w:val="32"/>
          <w:lang w:val="en-US" w:eastAsia="zh-CN"/>
        </w:rPr>
      </w:pPr>
    </w:p>
    <w:sectPr>
      <w:pgSz w:w="16838" w:h="11906" w:orient="landscape"/>
      <w:pgMar w:top="1587" w:right="2098" w:bottom="1474" w:left="1984" w:header="851" w:footer="992" w:gutter="0"/>
      <w:paperSrc/>
      <w:pgNumType w:fmt="numberInDash"/>
      <w:cols w:space="0" w:num="1"/>
      <w:rtlGutter w:val="0"/>
      <w:docGrid w:type="linesAndChars" w:linePitch="57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fyKa93AIAACQGAAAOAAAAAAAAAAEAIAAAAB8BAABkcnMvZTJvRG9jLnhtbFBLBQYA&#10;AAAABgAGAFkBAABtBg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160667"/>
    <w:rsid w:val="0B160667"/>
    <w:rsid w:val="11097B70"/>
    <w:rsid w:val="364B3B1D"/>
    <w:rsid w:val="380171C7"/>
    <w:rsid w:val="392E3B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10</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2021-03-03T02:45:00Z</dcterms:created>
  <dc:creator>Administrator</dc:creator>
  <cp:lastModifiedBy>Administrator</cp:lastModifiedBy>
  <dcterms:modified xsi:type="dcterms:W3CDTF">2021-03-03T02:55:20Z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