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36" w:rsidRDefault="009A7F27">
      <w:pPr>
        <w:pStyle w:val="a4"/>
      </w:pPr>
      <w:r>
        <w:rPr>
          <w:rFonts w:ascii="黑体" w:eastAsia="黑体" w:hAnsi="黑体" w:cs="黑体" w:hint="eastAsia"/>
          <w:sz w:val="32"/>
          <w:szCs w:val="32"/>
        </w:rPr>
        <w:t>附件2</w:t>
      </w:r>
    </w:p>
    <w:p w:rsidR="00290A36" w:rsidRDefault="00290A36">
      <w:pPr>
        <w:pStyle w:val="a4"/>
      </w:pPr>
    </w:p>
    <w:p w:rsidR="00290A36" w:rsidRDefault="009A7F27">
      <w:pPr>
        <w:pStyle w:val="a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“公建民营等养老机构服务不规范问题”点题整治工作重点</w:t>
      </w:r>
    </w:p>
    <w:p w:rsidR="00290A36" w:rsidRDefault="00290A36">
      <w:pPr>
        <w:pStyle w:val="a4"/>
        <w:adjustRightInd w:val="0"/>
        <w:spacing w:line="280" w:lineRule="exact"/>
        <w:jc w:val="both"/>
        <w:rPr>
          <w:rFonts w:ascii="方正小标宋简体" w:eastAsia="方正小标宋简体" w:hAnsi="方正小标宋简体" w:cs="方正小标宋简体"/>
          <w:sz w:val="44"/>
          <w:szCs w:val="44"/>
        </w:rPr>
      </w:pPr>
    </w:p>
    <w:tbl>
      <w:tblPr>
        <w:tblW w:w="15233" w:type="dxa"/>
        <w:jc w:val="center"/>
        <w:tblLayout w:type="fixed"/>
        <w:tblLook w:val="04A0"/>
      </w:tblPr>
      <w:tblGrid>
        <w:gridCol w:w="555"/>
        <w:gridCol w:w="1061"/>
        <w:gridCol w:w="5758"/>
        <w:gridCol w:w="6093"/>
        <w:gridCol w:w="883"/>
        <w:gridCol w:w="883"/>
      </w:tblGrid>
      <w:tr w:rsidR="00290A36">
        <w:trPr>
          <w:cantSplit/>
          <w:trHeight w:val="40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60" w:lineRule="exact"/>
              <w:jc w:val="center"/>
              <w:textAlignment w:val="center"/>
              <w:rPr>
                <w:rFonts w:ascii="仿宋_GB2312" w:eastAsia="仿宋_GB2312" w:hAnsi="仿宋_GB2312" w:cs="仿宋_GB2312"/>
                <w:color w:val="000000"/>
                <w:kern w:val="0"/>
                <w:sz w:val="13"/>
                <w:szCs w:val="13"/>
              </w:rPr>
            </w:pPr>
            <w:r>
              <w:rPr>
                <w:rFonts w:ascii="黑体" w:eastAsia="黑体" w:hAnsi="黑体" w:cs="黑体" w:hint="eastAsia"/>
                <w:b/>
                <w:bCs/>
                <w:color w:val="000000"/>
                <w:kern w:val="0"/>
                <w:sz w:val="13"/>
                <w:szCs w:val="13"/>
              </w:rPr>
              <w:t>序号</w:t>
            </w:r>
          </w:p>
        </w:tc>
        <w:tc>
          <w:tcPr>
            <w:tcW w:w="1061" w:type="dxa"/>
            <w:tcBorders>
              <w:top w:val="single" w:sz="4" w:space="0" w:color="000000"/>
              <w:left w:val="single" w:sz="4" w:space="0" w:color="000000"/>
              <w:right w:val="single" w:sz="4" w:space="0" w:color="000000"/>
            </w:tcBorders>
            <w:noWrap/>
            <w:vAlign w:val="center"/>
          </w:tcPr>
          <w:p w:rsidR="00290A36" w:rsidRDefault="009A7F27">
            <w:pPr>
              <w:widowControl/>
              <w:adjustRightInd w:val="0"/>
              <w:snapToGrid w:val="0"/>
              <w:spacing w:line="260" w:lineRule="exact"/>
              <w:jc w:val="center"/>
              <w:textAlignment w:val="center"/>
              <w:rPr>
                <w:rFonts w:ascii="黑体" w:eastAsia="黑体" w:hAnsi="黑体" w:cs="黑体"/>
                <w:b/>
                <w:bCs/>
                <w:color w:val="000000"/>
                <w:kern w:val="0"/>
                <w:sz w:val="13"/>
                <w:szCs w:val="13"/>
              </w:rPr>
            </w:pPr>
            <w:r>
              <w:rPr>
                <w:rFonts w:ascii="黑体" w:eastAsia="黑体" w:hAnsi="黑体" w:cs="黑体" w:hint="eastAsia"/>
                <w:b/>
                <w:bCs/>
                <w:color w:val="000000"/>
                <w:kern w:val="0"/>
                <w:sz w:val="13"/>
                <w:szCs w:val="13"/>
              </w:rPr>
              <w:t>排查</w:t>
            </w:r>
          </w:p>
          <w:p w:rsidR="00290A36" w:rsidRDefault="009A7F27">
            <w:pPr>
              <w:widowControl/>
              <w:adjustRightInd w:val="0"/>
              <w:snapToGrid w:val="0"/>
              <w:spacing w:line="260" w:lineRule="exact"/>
              <w:jc w:val="center"/>
              <w:textAlignment w:val="center"/>
              <w:rPr>
                <w:rFonts w:ascii="仿宋_GB2312" w:eastAsia="仿宋_GB2312" w:hAnsi="仿宋_GB2312" w:cs="仿宋_GB2312"/>
                <w:color w:val="000000"/>
                <w:kern w:val="0"/>
                <w:sz w:val="13"/>
                <w:szCs w:val="13"/>
              </w:rPr>
            </w:pPr>
            <w:r>
              <w:rPr>
                <w:rFonts w:ascii="黑体" w:eastAsia="黑体" w:hAnsi="黑体" w:cs="黑体" w:hint="eastAsia"/>
                <w:b/>
                <w:bCs/>
                <w:color w:val="000000"/>
                <w:kern w:val="0"/>
                <w:sz w:val="13"/>
                <w:szCs w:val="13"/>
              </w:rPr>
              <w:t>范围</w:t>
            </w: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60" w:lineRule="exact"/>
              <w:jc w:val="center"/>
              <w:textAlignment w:val="center"/>
              <w:rPr>
                <w:rFonts w:ascii="仿宋_GB2312" w:eastAsia="仿宋_GB2312" w:hAnsi="仿宋_GB2312" w:cs="仿宋_GB2312"/>
                <w:color w:val="000000"/>
                <w:kern w:val="0"/>
                <w:sz w:val="13"/>
                <w:szCs w:val="13"/>
              </w:rPr>
            </w:pPr>
            <w:r>
              <w:rPr>
                <w:rFonts w:ascii="黑体" w:eastAsia="黑体" w:hAnsi="黑体" w:cs="黑体" w:hint="eastAsia"/>
                <w:b/>
                <w:bCs/>
                <w:color w:val="000000"/>
                <w:kern w:val="0"/>
                <w:sz w:val="13"/>
                <w:szCs w:val="13"/>
              </w:rPr>
              <w:t>整治重点</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60" w:lineRule="exact"/>
              <w:jc w:val="center"/>
              <w:textAlignment w:val="center"/>
              <w:rPr>
                <w:rFonts w:ascii="仿宋_GB2312" w:eastAsia="仿宋_GB2312" w:hAnsi="仿宋_GB2312" w:cs="仿宋_GB2312"/>
                <w:color w:val="000000"/>
                <w:kern w:val="0"/>
                <w:sz w:val="13"/>
                <w:szCs w:val="13"/>
              </w:rPr>
            </w:pPr>
            <w:r>
              <w:rPr>
                <w:rFonts w:ascii="黑体" w:eastAsia="黑体" w:hAnsi="黑体" w:cs="黑体" w:hint="eastAsia"/>
                <w:b/>
                <w:bCs/>
                <w:color w:val="000000"/>
                <w:kern w:val="0"/>
                <w:sz w:val="13"/>
                <w:szCs w:val="13"/>
              </w:rPr>
              <w:t>目标要求</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60" w:lineRule="exact"/>
              <w:jc w:val="center"/>
              <w:textAlignment w:val="center"/>
              <w:rPr>
                <w:rFonts w:ascii="仿宋_GB2312" w:eastAsia="仿宋_GB2312" w:hAnsi="仿宋_GB2312" w:cs="仿宋_GB2312"/>
                <w:color w:val="000000"/>
                <w:kern w:val="0"/>
                <w:sz w:val="13"/>
                <w:szCs w:val="13"/>
              </w:rPr>
            </w:pPr>
            <w:r>
              <w:rPr>
                <w:rFonts w:ascii="黑体" w:eastAsia="黑体" w:hAnsi="黑体" w:cs="黑体" w:hint="eastAsia"/>
                <w:b/>
                <w:bCs/>
                <w:color w:val="000000"/>
                <w:kern w:val="0"/>
                <w:sz w:val="13"/>
                <w:szCs w:val="13"/>
              </w:rPr>
              <w:t>责任人</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60" w:lineRule="exact"/>
              <w:jc w:val="center"/>
              <w:textAlignment w:val="center"/>
              <w:rPr>
                <w:rFonts w:ascii="黑体" w:eastAsia="黑体" w:hAnsi="黑体" w:cs="黑体"/>
                <w:b/>
                <w:bCs/>
                <w:color w:val="000000"/>
                <w:kern w:val="0"/>
                <w:sz w:val="13"/>
                <w:szCs w:val="13"/>
              </w:rPr>
            </w:pPr>
            <w:r>
              <w:rPr>
                <w:rFonts w:ascii="黑体" w:eastAsia="黑体" w:hAnsi="黑体" w:cs="黑体" w:hint="eastAsia"/>
                <w:b/>
                <w:bCs/>
                <w:color w:val="000000"/>
                <w:kern w:val="0"/>
                <w:sz w:val="13"/>
                <w:szCs w:val="13"/>
              </w:rPr>
              <w:t>科室负责人</w:t>
            </w: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1</w:t>
            </w:r>
          </w:p>
        </w:tc>
        <w:tc>
          <w:tcPr>
            <w:tcW w:w="1061" w:type="dxa"/>
            <w:vMerge w:val="restart"/>
            <w:tcBorders>
              <w:top w:val="single" w:sz="4" w:space="0" w:color="000000"/>
              <w:left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落实兜底保障方面</w:t>
            </w: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是否坚持公办养老机构的公益属性，明确兜底保障床位数量，保障政府兜底对象的养老服务需求。</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公建民营运营方应按照合同约定，保留足够用于兜底保障的可用床位数。</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赖萱萱</w:t>
            </w:r>
          </w:p>
        </w:tc>
        <w:tc>
          <w:tcPr>
            <w:tcW w:w="883" w:type="dxa"/>
            <w:vMerge w:val="restart"/>
            <w:tcBorders>
              <w:top w:val="single" w:sz="4" w:space="0" w:color="000000"/>
              <w:left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3"/>
                <w:szCs w:val="13"/>
              </w:rPr>
              <w:t>方海涛</w:t>
            </w: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2</w:t>
            </w:r>
          </w:p>
        </w:tc>
        <w:tc>
          <w:tcPr>
            <w:tcW w:w="1061" w:type="dxa"/>
            <w:vMerge/>
            <w:tcBorders>
              <w:left w:val="single" w:sz="4" w:space="0" w:color="000000"/>
              <w:bottom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收费价格是否透明，对收住社会老年人的，是否按照《福建省养老机构收费管理办法》规范收费为。</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养老机构应公开收费价格，对收住社会老年人的应合理定价，提供普惠养老服务。</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吴锋</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3</w:t>
            </w:r>
          </w:p>
        </w:tc>
        <w:tc>
          <w:tcPr>
            <w:tcW w:w="1061" w:type="dxa"/>
            <w:vMerge w:val="restart"/>
            <w:tcBorders>
              <w:left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sz w:val="15"/>
                <w:szCs w:val="15"/>
              </w:rPr>
              <w:t>提升服务质量方面</w:t>
            </w: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护理型养老床位与养老护理员的比例是否不低于1：4，非护理型养老床位与养老护理员的比例是否不低于1：10。</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养老机构应当按照规定配备符合比例要求的有资质的各类养老服务人员。</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陈伟伟</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4</w:t>
            </w:r>
          </w:p>
        </w:tc>
        <w:tc>
          <w:tcPr>
            <w:tcW w:w="1061"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养老护理员是否经培训合格后上岗，是否存在态度生硬甚至欺老虐老现象。</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养老机构应对养老护理员培训合格后上岗。</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陈伟伟</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5</w:t>
            </w:r>
          </w:p>
        </w:tc>
        <w:tc>
          <w:tcPr>
            <w:tcW w:w="1061"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是否按照国家有关规定落实安全、消防、食品、卫生等工作。</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养老机构应当按照国家有关规定建立健全安全、消防、食品、卫生、财务、档案管理等规章制度，制定服务标准和工作流程，并予以公开。</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陈伟伟</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6</w:t>
            </w:r>
          </w:p>
        </w:tc>
        <w:tc>
          <w:tcPr>
            <w:tcW w:w="1061" w:type="dxa"/>
            <w:vMerge/>
            <w:tcBorders>
              <w:left w:val="single" w:sz="4" w:space="0" w:color="000000"/>
              <w:bottom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是否推行和执行《养老机构服务合同（示范文本）》，保护当事人合法权益。</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各地100%推行使用《服务合同（示范文本）》，把它作为加强养老机构管理、规范养老服务行为的一项重要工作来抓。</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吴锋</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7</w:t>
            </w:r>
          </w:p>
        </w:tc>
        <w:tc>
          <w:tcPr>
            <w:tcW w:w="1061" w:type="dxa"/>
            <w:vMerge w:val="restart"/>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加强设施管理方面</w:t>
            </w: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公建民营是否保留原公办机构名称标志铭牌。</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运营方应向所在地民政部门备案养老服务机构，运营时须加挂原公办机构牌子。</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戴素莲</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8</w:t>
            </w:r>
          </w:p>
        </w:tc>
        <w:tc>
          <w:tcPr>
            <w:tcW w:w="1061" w:type="dxa"/>
            <w:vMerge/>
            <w:tcBorders>
              <w:top w:val="single" w:sz="4" w:space="0" w:color="000000"/>
              <w:left w:val="single" w:sz="4" w:space="0" w:color="000000"/>
              <w:bottom w:val="single" w:sz="4" w:space="0" w:color="000000"/>
              <w:right w:val="single" w:sz="4" w:space="0" w:color="000000"/>
            </w:tcBorders>
            <w:noWrap/>
            <w:vAlign w:val="center"/>
          </w:tcPr>
          <w:p w:rsidR="00290A36" w:rsidRDefault="00290A36">
            <w:pPr>
              <w:widowControl/>
              <w:adjustRightInd w:val="0"/>
              <w:snapToGrid w:val="0"/>
              <w:spacing w:line="200" w:lineRule="exact"/>
              <w:jc w:val="center"/>
              <w:rPr>
                <w:rFonts w:ascii="仿宋_GB2312" w:eastAsia="仿宋_GB2312" w:hAnsi="仿宋_GB2312" w:cs="仿宋_GB2312"/>
                <w:color w:val="000000"/>
                <w:sz w:val="15"/>
                <w:szCs w:val="15"/>
              </w:rPr>
            </w:pP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是否对相关国有资产进行资产清查、登记造册。</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公建民营所有权方应对相关国有资产清查，100%完成登记造册，做到产权明晰。有条件的可委托具有资质的第三方机构出具《资产评估报告》。</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戴素莲</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auto"/>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9</w:t>
            </w:r>
          </w:p>
        </w:tc>
        <w:tc>
          <w:tcPr>
            <w:tcW w:w="1061" w:type="dxa"/>
            <w:vMerge/>
            <w:tcBorders>
              <w:top w:val="single" w:sz="4" w:space="0" w:color="000000"/>
              <w:left w:val="single" w:sz="4" w:space="0" w:color="000000"/>
              <w:bottom w:val="single" w:sz="4" w:space="0" w:color="auto"/>
              <w:right w:val="single" w:sz="4" w:space="0" w:color="000000"/>
            </w:tcBorders>
            <w:noWrap/>
            <w:vAlign w:val="center"/>
          </w:tcPr>
          <w:p w:rsidR="00290A36" w:rsidRDefault="00290A36">
            <w:pPr>
              <w:widowControl/>
              <w:adjustRightInd w:val="0"/>
              <w:snapToGrid w:val="0"/>
              <w:spacing w:line="200" w:lineRule="exact"/>
              <w:jc w:val="center"/>
              <w:rPr>
                <w:rFonts w:ascii="仿宋_GB2312" w:eastAsia="仿宋_GB2312" w:hAnsi="仿宋_GB2312" w:cs="仿宋_GB2312"/>
                <w:color w:val="000000"/>
                <w:sz w:val="15"/>
                <w:szCs w:val="15"/>
              </w:rPr>
            </w:pPr>
          </w:p>
        </w:tc>
        <w:tc>
          <w:tcPr>
            <w:tcW w:w="5758" w:type="dxa"/>
            <w:tcBorders>
              <w:top w:val="single" w:sz="4" w:space="0" w:color="000000"/>
              <w:left w:val="single" w:sz="4" w:space="0" w:color="000000"/>
              <w:bottom w:val="single" w:sz="4" w:space="0" w:color="auto"/>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是否存在无公建民营合同经营、合同不规范以及其他违反国家有关规定实施公建民营的行为。</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依法依规严肃查处公建民营养老服务机构无合同经营、合同不规范以及其他违反国家有关规定实施公建民营的行为。</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吴锋</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auto"/>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10</w:t>
            </w:r>
          </w:p>
        </w:tc>
        <w:tc>
          <w:tcPr>
            <w:tcW w:w="1061" w:type="dxa"/>
            <w:tcBorders>
              <w:top w:val="single" w:sz="4" w:space="0" w:color="000000"/>
              <w:left w:val="single" w:sz="4" w:space="0" w:color="000000"/>
              <w:bottom w:val="single" w:sz="4" w:space="0" w:color="auto"/>
              <w:right w:val="single" w:sz="4" w:space="0" w:color="000000"/>
            </w:tcBorders>
            <w:noWrap/>
            <w:vAlign w:val="center"/>
          </w:tcPr>
          <w:p w:rsidR="00290A36" w:rsidRDefault="009A7F27">
            <w:pPr>
              <w:widowControl/>
              <w:adjustRightInd w:val="0"/>
              <w:snapToGrid w:val="0"/>
              <w:spacing w:line="200" w:lineRule="exact"/>
              <w:jc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sz w:val="15"/>
                <w:szCs w:val="15"/>
              </w:rPr>
              <w:t>规范财务制度方面</w:t>
            </w:r>
          </w:p>
        </w:tc>
        <w:tc>
          <w:tcPr>
            <w:tcW w:w="5758" w:type="dxa"/>
            <w:tcBorders>
              <w:top w:val="single" w:sz="4" w:space="0" w:color="000000"/>
              <w:left w:val="single" w:sz="4" w:space="0" w:color="000000"/>
              <w:bottom w:val="single" w:sz="4" w:space="0" w:color="auto"/>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养老机构是否规范落实财务管理制度。</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养老机构所有财务收支应当全部纳入本单位财务账户统一管理、统一核算，不得建立帐外帐。</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吴颖瑜</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11</w:t>
            </w:r>
          </w:p>
        </w:tc>
        <w:tc>
          <w:tcPr>
            <w:tcW w:w="1061" w:type="dxa"/>
            <w:vMerge w:val="restart"/>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整治安全隐患方面</w:t>
            </w: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是否提供符合老年人居住的条件，并配备适合老年人安全保护要求的设施、设备及用具。</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所有养老机构应符合《养老机构服务安全基本规范》国家强制性标准。</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陈伟伟</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12</w:t>
            </w:r>
          </w:p>
        </w:tc>
        <w:tc>
          <w:tcPr>
            <w:tcW w:w="1061" w:type="dxa"/>
            <w:vMerge/>
            <w:tcBorders>
              <w:top w:val="single" w:sz="4" w:space="0" w:color="000000"/>
              <w:left w:val="single" w:sz="4" w:space="0" w:color="000000"/>
              <w:bottom w:val="single" w:sz="4" w:space="0" w:color="000000"/>
              <w:right w:val="single" w:sz="4" w:space="0" w:color="000000"/>
            </w:tcBorders>
            <w:noWrap/>
            <w:vAlign w:val="center"/>
          </w:tcPr>
          <w:p w:rsidR="00290A36" w:rsidRDefault="00290A36">
            <w:pPr>
              <w:widowControl/>
              <w:adjustRightInd w:val="0"/>
              <w:snapToGrid w:val="0"/>
              <w:spacing w:line="200" w:lineRule="exact"/>
              <w:jc w:val="center"/>
              <w:rPr>
                <w:rFonts w:ascii="仿宋_GB2312" w:eastAsia="仿宋_GB2312" w:hAnsi="仿宋_GB2312" w:cs="仿宋_GB2312"/>
                <w:color w:val="000000"/>
                <w:sz w:val="15"/>
                <w:szCs w:val="15"/>
              </w:rPr>
            </w:pP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对存在重大安全隐患、整改不彻底的，是否及时将问题抄送相关职能部门，督促其限期整改到位。</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各地对养老机构存在重大安全隐患、整改不彻底的，要及时将问题抄送属地政府及相关职能部门，督促其限期整改到位。</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陈伟伟</w:t>
            </w:r>
          </w:p>
        </w:tc>
        <w:tc>
          <w:tcPr>
            <w:tcW w:w="883" w:type="dxa"/>
            <w:vMerge/>
            <w:tcBorders>
              <w:left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r w:rsidR="00290A36">
        <w:trPr>
          <w:cantSplit/>
          <w:trHeight w:val="397"/>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13</w:t>
            </w:r>
          </w:p>
        </w:tc>
        <w:tc>
          <w:tcPr>
            <w:tcW w:w="1061" w:type="dxa"/>
            <w:vMerge/>
            <w:tcBorders>
              <w:top w:val="single" w:sz="4" w:space="0" w:color="000000"/>
              <w:left w:val="single" w:sz="4" w:space="0" w:color="000000"/>
              <w:bottom w:val="single" w:sz="4" w:space="0" w:color="000000"/>
              <w:right w:val="single" w:sz="4" w:space="0" w:color="000000"/>
            </w:tcBorders>
            <w:noWrap/>
            <w:vAlign w:val="center"/>
          </w:tcPr>
          <w:p w:rsidR="00290A36" w:rsidRDefault="00290A36">
            <w:pPr>
              <w:widowControl/>
              <w:adjustRightInd w:val="0"/>
              <w:snapToGrid w:val="0"/>
              <w:spacing w:line="200" w:lineRule="exact"/>
              <w:jc w:val="center"/>
              <w:rPr>
                <w:rFonts w:ascii="仿宋_GB2312" w:eastAsia="仿宋_GB2312" w:hAnsi="仿宋_GB2312" w:cs="仿宋_GB2312"/>
                <w:color w:val="000000"/>
                <w:sz w:val="15"/>
                <w:szCs w:val="15"/>
              </w:rPr>
            </w:pPr>
          </w:p>
        </w:tc>
        <w:tc>
          <w:tcPr>
            <w:tcW w:w="5758"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装修改造过程中，是否改变建筑主体结构，是否未经批准新建、违规搭建。</w:t>
            </w:r>
          </w:p>
        </w:tc>
        <w:tc>
          <w:tcPr>
            <w:tcW w:w="609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rPr>
              <w:t>公建民营运营方装修改造不得改变建筑主体结构，未经批准不得新建、违规搭建。</w:t>
            </w:r>
          </w:p>
        </w:tc>
        <w:tc>
          <w:tcPr>
            <w:tcW w:w="883" w:type="dxa"/>
            <w:tcBorders>
              <w:top w:val="single" w:sz="4" w:space="0" w:color="000000"/>
              <w:left w:val="single" w:sz="4" w:space="0" w:color="000000"/>
              <w:bottom w:val="single" w:sz="4" w:space="0" w:color="000000"/>
              <w:right w:val="single" w:sz="4" w:space="0" w:color="000000"/>
            </w:tcBorders>
            <w:noWrap/>
            <w:vAlign w:val="center"/>
          </w:tcPr>
          <w:p w:rsidR="00290A36" w:rsidRDefault="009A7F27">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r>
              <w:rPr>
                <w:rFonts w:ascii="仿宋_GB2312" w:eastAsia="仿宋_GB2312" w:hAnsi="仿宋_GB2312" w:cs="仿宋_GB2312" w:hint="eastAsia"/>
                <w:color w:val="000000"/>
                <w:kern w:val="0"/>
                <w:sz w:val="15"/>
                <w:szCs w:val="15"/>
              </w:rPr>
              <w:t>陈伟伟</w:t>
            </w:r>
          </w:p>
        </w:tc>
        <w:tc>
          <w:tcPr>
            <w:tcW w:w="883" w:type="dxa"/>
            <w:vMerge/>
            <w:tcBorders>
              <w:left w:val="single" w:sz="4" w:space="0" w:color="000000"/>
              <w:bottom w:val="single" w:sz="4" w:space="0" w:color="000000"/>
              <w:right w:val="single" w:sz="4" w:space="0" w:color="000000"/>
            </w:tcBorders>
            <w:noWrap/>
            <w:vAlign w:val="center"/>
          </w:tcPr>
          <w:p w:rsidR="00290A36" w:rsidRDefault="00290A36">
            <w:pPr>
              <w:widowControl/>
              <w:adjustRightInd w:val="0"/>
              <w:snapToGrid w:val="0"/>
              <w:spacing w:line="200" w:lineRule="exact"/>
              <w:jc w:val="center"/>
              <w:textAlignment w:val="center"/>
              <w:rPr>
                <w:rFonts w:ascii="仿宋_GB2312" w:eastAsia="仿宋_GB2312" w:hAnsi="仿宋_GB2312" w:cs="仿宋_GB2312"/>
                <w:color w:val="000000"/>
                <w:kern w:val="0"/>
                <w:sz w:val="15"/>
                <w:szCs w:val="15"/>
              </w:rPr>
            </w:pPr>
          </w:p>
        </w:tc>
      </w:tr>
    </w:tbl>
    <w:p w:rsidR="00290A36" w:rsidRDefault="00290A36">
      <w:pPr>
        <w:pStyle w:val="a4"/>
      </w:pPr>
    </w:p>
    <w:p w:rsidR="00290A36" w:rsidRDefault="00290A36">
      <w:pPr>
        <w:pStyle w:val="a4"/>
      </w:pPr>
    </w:p>
    <w:p w:rsidR="00290A36" w:rsidRDefault="00290A36">
      <w:pPr>
        <w:pStyle w:val="a4"/>
      </w:pPr>
    </w:p>
    <w:p w:rsidR="00290A36" w:rsidRDefault="00290A36">
      <w:pPr>
        <w:pStyle w:val="a4"/>
        <w:sectPr w:rsidR="00290A36">
          <w:footerReference w:type="default" r:id="rId7"/>
          <w:pgSz w:w="16838" w:h="11906" w:orient="landscape"/>
          <w:pgMar w:top="1587" w:right="2098" w:bottom="1474" w:left="1984" w:header="851" w:footer="992" w:gutter="0"/>
          <w:pgNumType w:fmt="numberInDash"/>
          <w:cols w:space="0"/>
          <w:docGrid w:linePitch="312"/>
        </w:sectPr>
      </w:pPr>
    </w:p>
    <w:p w:rsidR="00290A36" w:rsidRDefault="00290A36" w:rsidP="00164E17">
      <w:pPr>
        <w:pStyle w:val="a4"/>
      </w:pPr>
    </w:p>
    <w:sectPr w:rsidR="00290A36" w:rsidSect="00290A36">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32A" w:rsidRDefault="0065232A" w:rsidP="00290A36">
      <w:r>
        <w:separator/>
      </w:r>
    </w:p>
  </w:endnote>
  <w:endnote w:type="continuationSeparator" w:id="1">
    <w:p w:rsidR="0065232A" w:rsidRDefault="0065232A" w:rsidP="00290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36" w:rsidRDefault="00152068">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290A36" w:rsidRDefault="00152068">
                <w:pPr>
                  <w:pStyle w:val="a4"/>
                </w:pPr>
                <w:r>
                  <w:rPr>
                    <w:rFonts w:ascii="宋体" w:hAnsi="宋体" w:cs="宋体" w:hint="eastAsia"/>
                    <w:sz w:val="28"/>
                    <w:szCs w:val="28"/>
                  </w:rPr>
                  <w:fldChar w:fldCharType="begin"/>
                </w:r>
                <w:r w:rsidR="009A7F27">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64E17">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36" w:rsidRDefault="00290A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32A" w:rsidRDefault="0065232A" w:rsidP="00290A36">
      <w:r>
        <w:separator/>
      </w:r>
    </w:p>
  </w:footnote>
  <w:footnote w:type="continuationSeparator" w:id="1">
    <w:p w:rsidR="0065232A" w:rsidRDefault="0065232A" w:rsidP="00290A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RiNjNiNDNhN2IzYmQ4ZGMyYjkzN2Q0OTIyNjE3NGYifQ=="/>
  </w:docVars>
  <w:rsids>
    <w:rsidRoot w:val="07836EEE"/>
    <w:rsid w:val="00152068"/>
    <w:rsid w:val="00164E17"/>
    <w:rsid w:val="00290A36"/>
    <w:rsid w:val="0065232A"/>
    <w:rsid w:val="009A7F27"/>
    <w:rsid w:val="00D93AC4"/>
    <w:rsid w:val="05AD6D73"/>
    <w:rsid w:val="07836EEE"/>
    <w:rsid w:val="31DD3668"/>
    <w:rsid w:val="324526DF"/>
    <w:rsid w:val="37527732"/>
    <w:rsid w:val="3A5B2156"/>
    <w:rsid w:val="4B6E6D64"/>
    <w:rsid w:val="67D07E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0A36"/>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semiHidden/>
    <w:qFormat/>
    <w:rsid w:val="00290A36"/>
    <w:rPr>
      <w:sz w:val="18"/>
      <w:szCs w:val="18"/>
    </w:rPr>
  </w:style>
  <w:style w:type="paragraph" w:styleId="2">
    <w:name w:val="Body Text Indent 2"/>
    <w:basedOn w:val="a"/>
    <w:qFormat/>
    <w:rsid w:val="00290A36"/>
    <w:pPr>
      <w:tabs>
        <w:tab w:val="left" w:pos="7020"/>
      </w:tabs>
      <w:spacing w:line="400" w:lineRule="exact"/>
      <w:ind w:firstLineChars="200" w:firstLine="640"/>
    </w:pPr>
    <w:rPr>
      <w:rFonts w:ascii="仿宋_GB2312" w:eastAsia="仿宋_GB2312" w:hAnsi="宋体"/>
      <w:sz w:val="32"/>
    </w:rPr>
  </w:style>
  <w:style w:type="paragraph" w:styleId="a4">
    <w:name w:val="footer"/>
    <w:basedOn w:val="a"/>
    <w:qFormat/>
    <w:rsid w:val="00290A36"/>
    <w:pPr>
      <w:tabs>
        <w:tab w:val="center" w:pos="4153"/>
        <w:tab w:val="right" w:pos="8306"/>
      </w:tabs>
      <w:snapToGrid w:val="0"/>
      <w:jc w:val="left"/>
    </w:pPr>
    <w:rPr>
      <w:sz w:val="18"/>
      <w:szCs w:val="18"/>
    </w:rPr>
  </w:style>
  <w:style w:type="paragraph" w:styleId="a5">
    <w:name w:val="header"/>
    <w:basedOn w:val="a"/>
    <w:qFormat/>
    <w:rsid w:val="00290A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rsid w:val="00290A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1">
    <w:name w:val="Table caption|1"/>
    <w:basedOn w:val="a"/>
    <w:qFormat/>
    <w:rsid w:val="00290A36"/>
    <w:rPr>
      <w:rFonts w:ascii="宋体" w:hAnsi="宋体" w:cs="宋体"/>
      <w:color w:val="434240"/>
      <w:sz w:val="22"/>
      <w:szCs w:val="22"/>
      <w:lang w:val="zh-TW" w:eastAsia="zh-TW" w:bidi="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186</Words>
  <Characters>1062</Characters>
  <Application>Microsoft Office Word</Application>
  <DocSecurity>0</DocSecurity>
  <Lines>8</Lines>
  <Paragraphs>2</Paragraphs>
  <ScaleCrop>false</ScaleCrop>
  <Company>Www.SangSan.Cn</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桑三博客</cp:lastModifiedBy>
  <cp:revision>4</cp:revision>
  <cp:lastPrinted>2023-07-11T01:08:00Z</cp:lastPrinted>
  <dcterms:created xsi:type="dcterms:W3CDTF">2023-07-05T02:57:00Z</dcterms:created>
  <dcterms:modified xsi:type="dcterms:W3CDTF">2023-09-06T01:32:00Z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36CB0939C36A4A33AECA7D041BE026A2_12</vt:lpwstr>
  </property>
</Properties>
</file>